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67" w:rsidRDefault="00117E9D" w:rsidP="00B37466">
      <w:pPr>
        <w:spacing w:line="400" w:lineRule="exact"/>
        <w:ind w:left="850" w:hangingChars="236" w:hanging="850"/>
        <w:jc w:val="center"/>
        <w:rPr>
          <w:rFonts w:ascii="標楷體" w:eastAsia="標楷體" w:hAnsi="標楷體"/>
          <w:sz w:val="44"/>
        </w:rPr>
      </w:pPr>
      <w:r>
        <w:rPr>
          <w:rFonts w:ascii="標楷體" w:eastAsia="標楷體" w:hAnsi="標楷體"/>
          <w:spacing w:val="-40"/>
          <w:sz w:val="44"/>
        </w:rPr>
        <w:t>-----</w:t>
      </w:r>
      <w:r>
        <w:rPr>
          <w:rFonts w:ascii="標楷體" w:eastAsia="標楷體" w:hAnsi="標楷體"/>
          <w:sz w:val="44"/>
        </w:rPr>
        <w:t xml:space="preserve"> </w:t>
      </w:r>
      <w:r>
        <w:rPr>
          <w:rFonts w:ascii="標楷體" w:eastAsia="標楷體" w:hAnsi="標楷體" w:hint="eastAsia"/>
          <w:sz w:val="44"/>
        </w:rPr>
        <w:t>申　報　須　知</w:t>
      </w:r>
      <w:r>
        <w:rPr>
          <w:rFonts w:ascii="標楷體" w:eastAsia="標楷體" w:hAnsi="標楷體"/>
          <w:sz w:val="44"/>
        </w:rPr>
        <w:t xml:space="preserve"> </w:t>
      </w:r>
      <w:r>
        <w:rPr>
          <w:rFonts w:ascii="標楷體" w:eastAsia="標楷體" w:hAnsi="標楷體"/>
          <w:spacing w:val="-40"/>
          <w:sz w:val="44"/>
        </w:rPr>
        <w:t>-----</w:t>
      </w:r>
    </w:p>
    <w:p w:rsidR="00486067" w:rsidRPr="00B37466" w:rsidRDefault="00117E9D" w:rsidP="00B37466">
      <w:pPr>
        <w:spacing w:beforeLines="50" w:before="180" w:line="240" w:lineRule="exact"/>
        <w:ind w:left="566" w:hangingChars="236" w:hanging="566"/>
        <w:jc w:val="both"/>
        <w:rPr>
          <w:rFonts w:ascii="標楷體" w:eastAsia="標楷體" w:hAnsi="標楷體"/>
        </w:rPr>
      </w:pPr>
      <w:r w:rsidRPr="00B37466">
        <w:rPr>
          <w:rFonts w:ascii="標楷體" w:eastAsia="標楷體" w:hAnsi="標楷體" w:hint="eastAsia"/>
        </w:rPr>
        <w:t>一、營利事業在清算期間之清算所得，應於清算結束之日起</w:t>
      </w:r>
      <w:r w:rsidRPr="00B37466">
        <w:rPr>
          <w:rFonts w:ascii="標楷體" w:eastAsia="標楷體" w:hAnsi="標楷體"/>
        </w:rPr>
        <w:t>30</w:t>
      </w:r>
      <w:r w:rsidRPr="00B37466">
        <w:rPr>
          <w:rFonts w:ascii="標楷體" w:eastAsia="標楷體" w:hAnsi="標楷體" w:hint="eastAsia"/>
        </w:rPr>
        <w:t>日內辦理申報。</w:t>
      </w:r>
    </w:p>
    <w:p w:rsidR="00486067" w:rsidRPr="00B37466" w:rsidRDefault="00117E9D" w:rsidP="00B37466">
      <w:pPr>
        <w:pStyle w:val="1"/>
        <w:spacing w:beforeLines="20" w:before="72" w:line="240" w:lineRule="exact"/>
        <w:ind w:left="566" w:rightChars="-59" w:right="-142" w:hangingChars="236" w:hanging="566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二、公司組織之營利事業，遇有解散、廢止、合併或轉讓情事，其清算期間之清算所得，應於清算結束之日起</w:t>
      </w:r>
      <w:r w:rsidRPr="00B37466">
        <w:rPr>
          <w:rFonts w:hAnsi="標楷體"/>
          <w:sz w:val="24"/>
        </w:rPr>
        <w:t>30</w:t>
      </w:r>
      <w:r w:rsidRPr="00B37466">
        <w:rPr>
          <w:rFonts w:hAnsi="標楷體" w:hint="eastAsia"/>
          <w:sz w:val="24"/>
        </w:rPr>
        <w:t>日內辦理申報，如逾期申報，不適用所得稅法第</w:t>
      </w:r>
      <w:r w:rsidRPr="00B37466">
        <w:rPr>
          <w:rFonts w:hAnsi="標楷體"/>
          <w:sz w:val="24"/>
        </w:rPr>
        <w:t>39</w:t>
      </w:r>
      <w:r w:rsidRPr="00B37466">
        <w:rPr>
          <w:rFonts w:hAnsi="標楷體" w:hint="eastAsia"/>
          <w:sz w:val="24"/>
        </w:rPr>
        <w:t>條有關前</w:t>
      </w:r>
      <w:r w:rsidRPr="00B37466">
        <w:rPr>
          <w:rFonts w:hAnsi="標楷體"/>
          <w:sz w:val="24"/>
        </w:rPr>
        <w:t>10</w:t>
      </w:r>
      <w:r w:rsidRPr="00B37466">
        <w:rPr>
          <w:rFonts w:hAnsi="標楷體" w:hint="eastAsia"/>
          <w:sz w:val="24"/>
        </w:rPr>
        <w:t>年核定虧損之扣除。所稱前</w:t>
      </w:r>
      <w:r w:rsidRPr="00B37466">
        <w:rPr>
          <w:rFonts w:hAnsi="標楷體"/>
          <w:sz w:val="24"/>
        </w:rPr>
        <w:t>10</w:t>
      </w:r>
      <w:r w:rsidRPr="00B37466">
        <w:rPr>
          <w:rFonts w:hAnsi="標楷體" w:hint="eastAsia"/>
          <w:sz w:val="24"/>
        </w:rPr>
        <w:t>年核定虧損，係指經</w:t>
      </w:r>
      <w:proofErr w:type="gramStart"/>
      <w:r w:rsidRPr="00B37466">
        <w:rPr>
          <w:rFonts w:hAnsi="標楷體" w:hint="eastAsia"/>
          <w:sz w:val="24"/>
        </w:rPr>
        <w:t>稽</w:t>
      </w:r>
      <w:proofErr w:type="gramEnd"/>
      <w:r w:rsidRPr="00B37466">
        <w:rPr>
          <w:rFonts w:hAnsi="標楷體" w:hint="eastAsia"/>
          <w:sz w:val="24"/>
        </w:rPr>
        <w:t>徵機關核定之</w:t>
      </w:r>
      <w:r w:rsidR="00302F29" w:rsidRPr="00302F29">
        <w:rPr>
          <w:rFonts w:hAnsi="標楷體" w:hint="eastAsia"/>
          <w:b/>
          <w:color w:val="FF0000"/>
          <w:sz w:val="24"/>
          <w:highlight w:val="yellow"/>
        </w:rPr>
        <w:t>前10年</w:t>
      </w:r>
      <w:r w:rsidRPr="00B37466">
        <w:rPr>
          <w:rFonts w:hAnsi="標楷體" w:hint="eastAsia"/>
          <w:sz w:val="24"/>
        </w:rPr>
        <w:t>虧損，尚未依法扣除完畢者。</w:t>
      </w:r>
    </w:p>
    <w:p w:rsidR="00486067" w:rsidRPr="00B37466" w:rsidRDefault="00117E9D" w:rsidP="00B37466">
      <w:pPr>
        <w:pStyle w:val="1"/>
        <w:spacing w:beforeLines="20" w:before="72" w:line="300" w:lineRule="exact"/>
        <w:ind w:left="567" w:hanging="567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三、公司辦理清算，依所得稅法第</w:t>
      </w:r>
      <w:r w:rsidRPr="00B37466">
        <w:rPr>
          <w:rFonts w:hAnsi="標楷體"/>
          <w:sz w:val="24"/>
        </w:rPr>
        <w:t>75</w:t>
      </w:r>
      <w:r w:rsidRPr="00B37466">
        <w:rPr>
          <w:rFonts w:hAnsi="標楷體" w:hint="eastAsia"/>
          <w:sz w:val="24"/>
        </w:rPr>
        <w:t>條第</w:t>
      </w:r>
      <w:r w:rsidRPr="00B37466">
        <w:rPr>
          <w:rFonts w:hAnsi="標楷體"/>
          <w:sz w:val="24"/>
        </w:rPr>
        <w:t>2</w:t>
      </w:r>
      <w:r w:rsidRPr="00B37466">
        <w:rPr>
          <w:rFonts w:hAnsi="標楷體" w:hint="eastAsia"/>
          <w:sz w:val="24"/>
        </w:rPr>
        <w:t>項規定，其申報所得之時限，應以實際辦理清算完結之日為準起算，惟清算人如未於就任之日起</w:t>
      </w:r>
      <w:r w:rsidRPr="00B37466">
        <w:rPr>
          <w:rFonts w:hAnsi="標楷體"/>
          <w:sz w:val="24"/>
        </w:rPr>
        <w:t>6</w:t>
      </w:r>
      <w:r w:rsidRPr="00B37466">
        <w:rPr>
          <w:rFonts w:hAnsi="標楷體" w:hint="eastAsia"/>
          <w:sz w:val="24"/>
        </w:rPr>
        <w:t>個月內清算完結，亦未報經法院核准展期者，應以</w:t>
      </w:r>
      <w:r w:rsidRPr="00B37466">
        <w:rPr>
          <w:rFonts w:hAnsi="標楷體"/>
          <w:sz w:val="24"/>
        </w:rPr>
        <w:t>6</w:t>
      </w:r>
      <w:r w:rsidRPr="00B37466">
        <w:rPr>
          <w:rFonts w:hAnsi="標楷體" w:hint="eastAsia"/>
          <w:sz w:val="24"/>
        </w:rPr>
        <w:t>個月期間屆滿之日為準起算。至所謂就任之日，其為法定清算人者，因係當然就任，無須清算人為就任之承諾。而外國公司，法定清算人為該外國公司在中華民國之負責人</w:t>
      </w:r>
      <w:r w:rsidRPr="00B37466">
        <w:rPr>
          <w:rFonts w:hAnsi="標楷體" w:hint="eastAsia"/>
          <w:sz w:val="24"/>
          <w:shd w:val="clear" w:color="auto" w:fill="FFFFFF"/>
        </w:rPr>
        <w:t>、代表人、管理人</w:t>
      </w:r>
      <w:r w:rsidRPr="00B37466">
        <w:rPr>
          <w:rFonts w:hAnsi="標楷體" w:hint="eastAsia"/>
          <w:sz w:val="24"/>
        </w:rPr>
        <w:t>或分公司經理人。</w:t>
      </w:r>
    </w:p>
    <w:p w:rsidR="00486067" w:rsidRPr="00B37466" w:rsidRDefault="00117E9D" w:rsidP="00B37466">
      <w:pPr>
        <w:pStyle w:val="1"/>
        <w:spacing w:beforeLines="20" w:before="72" w:line="300" w:lineRule="exact"/>
        <w:ind w:left="567" w:hanging="567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四、營利事業辦理清算，其清算期間雖遇跨年度，仍應依所得稅法第</w:t>
      </w:r>
      <w:r w:rsidRPr="00B37466">
        <w:rPr>
          <w:rFonts w:hAnsi="標楷體"/>
          <w:sz w:val="24"/>
        </w:rPr>
        <w:t>75</w:t>
      </w:r>
      <w:r w:rsidRPr="00B37466">
        <w:rPr>
          <w:rFonts w:hAnsi="標楷體" w:hint="eastAsia"/>
          <w:sz w:val="24"/>
        </w:rPr>
        <w:t>條第</w:t>
      </w:r>
      <w:r w:rsidRPr="00B37466">
        <w:rPr>
          <w:rFonts w:hAnsi="標楷體"/>
          <w:sz w:val="24"/>
        </w:rPr>
        <w:t>2</w:t>
      </w:r>
      <w:r w:rsidRPr="00B37466">
        <w:rPr>
          <w:rFonts w:hAnsi="標楷體" w:hint="eastAsia"/>
          <w:sz w:val="24"/>
        </w:rPr>
        <w:t>項規定，以申報當年度適用之營利事業所得稅稅率自行計算繳納。</w:t>
      </w:r>
    </w:p>
    <w:p w:rsidR="00486067" w:rsidRPr="00B37466" w:rsidRDefault="00117E9D" w:rsidP="00B37466">
      <w:pPr>
        <w:pStyle w:val="1"/>
        <w:spacing w:beforeLines="20" w:before="72" w:line="300" w:lineRule="exact"/>
        <w:ind w:left="567" w:hanging="567"/>
        <w:jc w:val="both"/>
        <w:rPr>
          <w:rFonts w:hAnsi="標楷體"/>
          <w:sz w:val="24"/>
        </w:rPr>
      </w:pPr>
      <w:r w:rsidRPr="00B37466">
        <w:rPr>
          <w:rFonts w:hAnsi="標楷體" w:hint="eastAsia"/>
          <w:sz w:val="24"/>
        </w:rPr>
        <w:t>五、教育、文化、公益、慈善機關或團體，尚無因解散而須向稽徵機關辦理當期決算及清算申報之規定，惟其解散後賸餘財產之處理，是否符合「教育文化公益慈善機關或團體免納所得稅適用標準」第</w:t>
      </w:r>
      <w:r w:rsidRPr="00B37466">
        <w:rPr>
          <w:rFonts w:hAnsi="標楷體"/>
          <w:sz w:val="24"/>
        </w:rPr>
        <w:t>2</w:t>
      </w:r>
      <w:r w:rsidRPr="00B37466">
        <w:rPr>
          <w:rFonts w:hAnsi="標楷體" w:hint="eastAsia"/>
          <w:sz w:val="24"/>
        </w:rPr>
        <w:t>條第</w:t>
      </w:r>
      <w:r w:rsidRPr="00B37466">
        <w:rPr>
          <w:rFonts w:hAnsi="標楷體"/>
          <w:sz w:val="24"/>
        </w:rPr>
        <w:t>1</w:t>
      </w:r>
      <w:r w:rsidRPr="00B37466">
        <w:rPr>
          <w:rFonts w:hAnsi="標楷體" w:hint="eastAsia"/>
          <w:sz w:val="24"/>
        </w:rPr>
        <w:t>項第</w:t>
      </w:r>
      <w:r w:rsidRPr="00B37466">
        <w:rPr>
          <w:rFonts w:hAnsi="標楷體"/>
          <w:sz w:val="24"/>
        </w:rPr>
        <w:t>3</w:t>
      </w:r>
      <w:r w:rsidRPr="00B37466">
        <w:rPr>
          <w:rFonts w:hAnsi="標楷體" w:hint="eastAsia"/>
          <w:sz w:val="24"/>
        </w:rPr>
        <w:t>款規定，應查明依法處理。</w:t>
      </w:r>
    </w:p>
    <w:p w:rsidR="00486067" w:rsidRPr="00B37466" w:rsidRDefault="00117E9D" w:rsidP="00B37466">
      <w:pPr>
        <w:pStyle w:val="1"/>
        <w:spacing w:beforeLines="20" w:before="72" w:line="300" w:lineRule="exact"/>
        <w:ind w:left="567" w:hanging="567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六、清算所得之計算如下：</w:t>
      </w:r>
    </w:p>
    <w:p w:rsidR="00486067" w:rsidRPr="00B37466" w:rsidRDefault="00117E9D" w:rsidP="00B37466">
      <w:pPr>
        <w:pStyle w:val="1"/>
        <w:spacing w:line="300" w:lineRule="exact"/>
        <w:ind w:leftChars="234" w:left="567" w:hangingChars="2" w:hanging="5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存貨變現收入－存貨變現成本＝存貨變現損益</w:t>
      </w:r>
    </w:p>
    <w:p w:rsidR="00486067" w:rsidRPr="00B37466" w:rsidRDefault="00117E9D" w:rsidP="00B37466">
      <w:pPr>
        <w:pStyle w:val="1"/>
        <w:spacing w:line="300" w:lineRule="exact"/>
        <w:ind w:leftChars="234" w:left="567" w:hangingChars="2" w:hanging="5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非存貨資產變現收益＋償還負債收益＋清算結束剩餘資產估價收益＋其他收益＝清算收益</w:t>
      </w:r>
    </w:p>
    <w:p w:rsidR="00486067" w:rsidRPr="00B37466" w:rsidRDefault="00117E9D" w:rsidP="00B37466">
      <w:pPr>
        <w:pStyle w:val="1"/>
        <w:spacing w:line="300" w:lineRule="exact"/>
        <w:ind w:leftChars="234" w:left="567" w:hangingChars="2" w:hanging="5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非存貨資產變現損失＋收取債權損失＋清算結束剩餘資產估價損失＋清算費用＋其他損失＝清算損失</w:t>
      </w:r>
    </w:p>
    <w:p w:rsidR="00486067" w:rsidRPr="00B37466" w:rsidRDefault="00117E9D" w:rsidP="00B37466">
      <w:pPr>
        <w:pStyle w:val="1"/>
        <w:spacing w:line="300" w:lineRule="exact"/>
        <w:ind w:leftChars="234" w:left="567" w:hangingChars="2" w:hanging="5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存貨變現損益＋清算收益－清算損失＝清算所得或虧損</w:t>
      </w:r>
    </w:p>
    <w:p w:rsidR="00486067" w:rsidRPr="00B37466" w:rsidRDefault="00117E9D" w:rsidP="00B37466">
      <w:pPr>
        <w:pStyle w:val="1"/>
        <w:spacing w:line="300" w:lineRule="exact"/>
        <w:ind w:leftChars="234" w:left="567" w:hangingChars="2" w:hanging="5"/>
        <w:jc w:val="both"/>
        <w:rPr>
          <w:rFonts w:ascii="Times New Roman" w:hAnsi="標楷體"/>
          <w:sz w:val="24"/>
        </w:rPr>
      </w:pPr>
      <w:r w:rsidRPr="00B37466">
        <w:rPr>
          <w:rFonts w:hAnsi="標楷體" w:hint="eastAsia"/>
          <w:sz w:val="24"/>
        </w:rPr>
        <w:t>清算所得－依法准予扣除之以往年度核定虧損額－各項依法免計入所得收益－各項依法免稅之所得＝清算課稅所得</w:t>
      </w:r>
    </w:p>
    <w:p w:rsidR="00486067" w:rsidRPr="00B37466" w:rsidRDefault="00117E9D" w:rsidP="00B37466">
      <w:pPr>
        <w:spacing w:before="50" w:line="300" w:lineRule="exact"/>
        <w:ind w:left="480" w:hangingChars="200" w:hanging="480"/>
        <w:jc w:val="both"/>
        <w:rPr>
          <w:rFonts w:ascii="標楷體" w:eastAsia="標楷體" w:hAnsi="標楷體"/>
        </w:rPr>
      </w:pPr>
      <w:r w:rsidRPr="00B37466">
        <w:rPr>
          <w:rFonts w:ascii="標楷體" w:eastAsia="標楷體" w:hAnsi="標楷體" w:hint="eastAsia"/>
        </w:rPr>
        <w:t>七、獨資組織之營利事業變更負責人</w:t>
      </w:r>
      <w:r w:rsidRPr="00B37466">
        <w:rPr>
          <w:rFonts w:ascii="標楷體" w:eastAsia="標楷體" w:hAnsi="標楷體" w:hint="eastAsia"/>
          <w:shd w:val="clear" w:color="auto" w:fill="FFFFFF"/>
        </w:rPr>
        <w:t>、代表人或管理人</w:t>
      </w:r>
      <w:r w:rsidRPr="00B37466">
        <w:rPr>
          <w:rFonts w:ascii="標楷體" w:eastAsia="標楷體" w:hAnsi="標楷體"/>
        </w:rPr>
        <w:t>(</w:t>
      </w:r>
      <w:r w:rsidRPr="00B37466">
        <w:rPr>
          <w:rFonts w:ascii="標楷體" w:eastAsia="標楷體" w:hAnsi="標楷體" w:hint="eastAsia"/>
        </w:rPr>
        <w:t>包括因繼承而辦理負責人</w:t>
      </w:r>
      <w:r w:rsidRPr="00B37466">
        <w:rPr>
          <w:rFonts w:ascii="標楷體" w:eastAsia="標楷體" w:hAnsi="標楷體" w:hint="eastAsia"/>
          <w:shd w:val="clear" w:color="auto" w:fill="FFFFFF"/>
        </w:rPr>
        <w:t>、代表人或管理人</w:t>
      </w:r>
      <w:r w:rsidRPr="00B37466">
        <w:rPr>
          <w:rFonts w:ascii="標楷體" w:eastAsia="標楷體" w:hAnsi="標楷體" w:hint="eastAsia"/>
        </w:rPr>
        <w:t>變更登記</w:t>
      </w:r>
      <w:r w:rsidRPr="00B37466">
        <w:rPr>
          <w:rFonts w:ascii="標楷體" w:eastAsia="標楷體" w:hAnsi="標楷體"/>
        </w:rPr>
        <w:t>)</w:t>
      </w:r>
      <w:r w:rsidRPr="00B37466">
        <w:rPr>
          <w:rFonts w:ascii="標楷體" w:eastAsia="標楷體" w:hAnsi="標楷體" w:hint="eastAsia"/>
        </w:rPr>
        <w:t>，因原負責人</w:t>
      </w:r>
      <w:r w:rsidRPr="00B37466">
        <w:rPr>
          <w:rFonts w:ascii="標楷體" w:eastAsia="標楷體" w:hAnsi="標楷體" w:hint="eastAsia"/>
          <w:shd w:val="clear" w:color="auto" w:fill="FFFFFF"/>
        </w:rPr>
        <w:t>、代表人或管理人</w:t>
      </w:r>
      <w:r w:rsidRPr="00B37466">
        <w:rPr>
          <w:rFonts w:ascii="標楷體" w:eastAsia="標楷體" w:hAnsi="標楷體" w:hint="eastAsia"/>
        </w:rPr>
        <w:t>已將獨資事業之全部資產負債移轉予新負責人</w:t>
      </w:r>
      <w:r w:rsidRPr="00B37466">
        <w:rPr>
          <w:rFonts w:ascii="標楷體" w:eastAsia="標楷體" w:hAnsi="標楷體" w:hint="eastAsia"/>
          <w:shd w:val="clear" w:color="auto" w:fill="FFFFFF"/>
        </w:rPr>
        <w:t>、代表人或管理人</w:t>
      </w:r>
      <w:r w:rsidRPr="00B37466">
        <w:rPr>
          <w:rFonts w:ascii="標楷體" w:eastAsia="標楷體" w:hAnsi="標楷體" w:hint="eastAsia"/>
        </w:rPr>
        <w:t>，核屬加值型及非加值型營業稅法第</w:t>
      </w:r>
      <w:r w:rsidRPr="00B37466">
        <w:rPr>
          <w:rFonts w:ascii="標楷體" w:eastAsia="標楷體" w:hAnsi="標楷體"/>
        </w:rPr>
        <w:t>30</w:t>
      </w:r>
      <w:r w:rsidRPr="00B37466">
        <w:rPr>
          <w:rFonts w:ascii="標楷體" w:eastAsia="標楷體" w:hAnsi="標楷體" w:hint="eastAsia"/>
        </w:rPr>
        <w:t>條規定所稱之轉讓，應依據所得稅法第</w:t>
      </w:r>
      <w:r w:rsidRPr="00B37466">
        <w:rPr>
          <w:rFonts w:ascii="標楷體" w:eastAsia="標楷體" w:hAnsi="標楷體"/>
        </w:rPr>
        <w:t>75</w:t>
      </w:r>
      <w:r w:rsidRPr="00B37466">
        <w:rPr>
          <w:rFonts w:ascii="標楷體" w:eastAsia="標楷體" w:hAnsi="標楷體" w:hint="eastAsia"/>
        </w:rPr>
        <w:t>條規定辦理當期決算及清算申報。</w:t>
      </w:r>
    </w:p>
    <w:p w:rsidR="00486067" w:rsidRPr="00B37466" w:rsidRDefault="00117E9D" w:rsidP="00B37466">
      <w:pPr>
        <w:pStyle w:val="a4"/>
        <w:spacing w:line="300" w:lineRule="exact"/>
        <w:ind w:left="463" w:hangingChars="193" w:hanging="463"/>
        <w:jc w:val="both"/>
        <w:rPr>
          <w:rFonts w:hAnsi="標楷體"/>
          <w:sz w:val="24"/>
          <w:shd w:val="clear" w:color="auto" w:fill="auto"/>
        </w:rPr>
      </w:pPr>
      <w:r w:rsidRPr="00B37466">
        <w:rPr>
          <w:rFonts w:hAnsi="標楷體" w:hint="eastAsia"/>
          <w:sz w:val="24"/>
          <w:shd w:val="clear" w:color="auto" w:fill="auto"/>
        </w:rPr>
        <w:t>八、合夥組織之營利事業，若因合夥人退夥或負責人</w:t>
      </w:r>
      <w:r w:rsidRPr="00B37466">
        <w:rPr>
          <w:rFonts w:hAnsi="標楷體" w:hint="eastAsia"/>
          <w:sz w:val="24"/>
          <w:shd w:val="clear" w:color="auto" w:fill="FFFFFF"/>
        </w:rPr>
        <w:t>、代表人或管理人</w:t>
      </w:r>
      <w:r w:rsidRPr="00B37466">
        <w:rPr>
          <w:rFonts w:hAnsi="標楷體" w:hint="eastAsia"/>
          <w:sz w:val="24"/>
          <w:shd w:val="clear" w:color="auto" w:fill="auto"/>
        </w:rPr>
        <w:t>將其出資額轉讓，導致負責人</w:t>
      </w:r>
      <w:r w:rsidRPr="00B37466">
        <w:rPr>
          <w:rFonts w:hAnsi="標楷體" w:hint="eastAsia"/>
          <w:sz w:val="24"/>
          <w:shd w:val="clear" w:color="auto" w:fill="FFFFFF"/>
        </w:rPr>
        <w:t>、代表人或管理人只</w:t>
      </w:r>
      <w:r w:rsidRPr="00B37466">
        <w:rPr>
          <w:rFonts w:hAnsi="標楷體" w:hint="eastAsia"/>
          <w:sz w:val="24"/>
          <w:shd w:val="clear" w:color="auto" w:fill="auto"/>
        </w:rPr>
        <w:t>剩</w:t>
      </w:r>
      <w:r w:rsidRPr="00B37466">
        <w:rPr>
          <w:rFonts w:hAnsi="標楷體"/>
          <w:sz w:val="24"/>
          <w:shd w:val="clear" w:color="auto" w:fill="auto"/>
        </w:rPr>
        <w:t>1</w:t>
      </w:r>
      <w:r w:rsidRPr="00B37466">
        <w:rPr>
          <w:rFonts w:hAnsi="標楷體" w:hint="eastAsia"/>
          <w:sz w:val="24"/>
          <w:shd w:val="clear" w:color="auto" w:fill="auto"/>
        </w:rPr>
        <w:t>人時，其存續要件即有欠缺，合夥自應解散辦理註銷登記，並應依規定辦理當期決算及清算申報。若變更負責人</w:t>
      </w:r>
      <w:r w:rsidRPr="00B37466">
        <w:rPr>
          <w:rFonts w:hAnsi="標楷體" w:hint="eastAsia"/>
          <w:sz w:val="24"/>
          <w:shd w:val="clear" w:color="auto" w:fill="FFFFFF"/>
        </w:rPr>
        <w:t>、代表人、管理人</w:t>
      </w:r>
      <w:r w:rsidRPr="00B37466">
        <w:rPr>
          <w:rFonts w:hAnsi="標楷體" w:hint="eastAsia"/>
          <w:sz w:val="24"/>
          <w:shd w:val="clear" w:color="auto" w:fill="auto"/>
        </w:rPr>
        <w:t>或合夥人，而其營利事業之主體並未因此有解散、廢止或轉讓之情事時，則可免辦理決算及清算申報。</w:t>
      </w:r>
    </w:p>
    <w:p w:rsidR="00486067" w:rsidRPr="00B37466" w:rsidRDefault="00117E9D" w:rsidP="00B37466">
      <w:pPr>
        <w:pStyle w:val="a4"/>
        <w:spacing w:beforeLines="20" w:before="72" w:line="300" w:lineRule="exact"/>
        <w:ind w:left="468" w:hangingChars="195" w:hanging="468"/>
        <w:rPr>
          <w:rFonts w:ascii="Times New Roman" w:hAnsi="標楷體"/>
          <w:sz w:val="24"/>
          <w:shd w:val="clear" w:color="auto" w:fill="auto"/>
        </w:rPr>
      </w:pPr>
      <w:r w:rsidRPr="00B37466">
        <w:rPr>
          <w:rFonts w:hAnsi="標楷體" w:hint="eastAsia"/>
          <w:sz w:val="24"/>
          <w:shd w:val="clear" w:color="auto" w:fill="auto"/>
        </w:rPr>
        <w:t>九、應納稅額，應按依法申報當年度營利事業所得稅稅率計算之。</w:t>
      </w:r>
    </w:p>
    <w:p w:rsidR="00486067" w:rsidRPr="00B37466" w:rsidRDefault="00117E9D" w:rsidP="00B37466">
      <w:pPr>
        <w:pStyle w:val="a4"/>
        <w:spacing w:beforeLines="20" w:before="72" w:afterLines="20" w:after="72" w:line="300" w:lineRule="exact"/>
        <w:ind w:left="468" w:hangingChars="195" w:hanging="468"/>
        <w:rPr>
          <w:rFonts w:ascii="Times New Roman" w:hAnsi="標楷體"/>
          <w:strike/>
          <w:color w:val="FF0000"/>
          <w:sz w:val="24"/>
          <w:shd w:val="clear" w:color="auto" w:fill="auto"/>
        </w:rPr>
      </w:pPr>
      <w:r w:rsidRPr="00B37466">
        <w:rPr>
          <w:rFonts w:hAnsi="標楷體"/>
          <w:sz w:val="24"/>
          <w:shd w:val="clear" w:color="auto" w:fill="auto"/>
        </w:rPr>
        <w:t xml:space="preserve">    99</w:t>
      </w:r>
      <w:r w:rsidRPr="00B37466">
        <w:rPr>
          <w:rFonts w:hAnsi="標楷體" w:hint="eastAsia"/>
          <w:sz w:val="24"/>
          <w:shd w:val="clear" w:color="auto" w:fill="auto"/>
        </w:rPr>
        <w:t>年度</w:t>
      </w:r>
      <w:r w:rsidR="00C0408B" w:rsidRPr="00C0408B">
        <w:rPr>
          <w:rFonts w:hAnsi="標楷體" w:hint="eastAsia"/>
          <w:b/>
          <w:color w:val="FF0000"/>
          <w:sz w:val="24"/>
          <w:highlight w:val="yellow"/>
          <w:shd w:val="clear" w:color="auto" w:fill="auto"/>
        </w:rPr>
        <w:t>至</w:t>
      </w:r>
      <w:proofErr w:type="gramStart"/>
      <w:r w:rsidR="00C0408B" w:rsidRPr="00C0408B">
        <w:rPr>
          <w:rFonts w:hAnsi="標楷體" w:hint="eastAsia"/>
          <w:b/>
          <w:color w:val="FF0000"/>
          <w:sz w:val="24"/>
          <w:highlight w:val="yellow"/>
          <w:shd w:val="clear" w:color="auto" w:fill="auto"/>
        </w:rPr>
        <w:t>106</w:t>
      </w:r>
      <w:proofErr w:type="gramEnd"/>
      <w:r w:rsidRPr="00B37466">
        <w:rPr>
          <w:rFonts w:hAnsi="標楷體" w:hint="eastAsia"/>
          <w:sz w:val="24"/>
          <w:shd w:val="clear" w:color="auto" w:fill="auto"/>
        </w:rPr>
        <w:t>年度營利事業所得稅稅率：</w:t>
      </w:r>
    </w:p>
    <w:tbl>
      <w:tblPr>
        <w:tblW w:w="13109" w:type="dxa"/>
        <w:tblInd w:w="5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708"/>
        <w:gridCol w:w="1080"/>
        <w:gridCol w:w="8612"/>
      </w:tblGrid>
      <w:tr w:rsidR="00486067" w:rsidRPr="00B37466" w:rsidTr="00B37466">
        <w:trPr>
          <w:trHeight w:val="39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 w:hint="eastAsia"/>
              </w:rPr>
              <w:t>級距</w:t>
            </w:r>
          </w:p>
        </w:tc>
        <w:tc>
          <w:tcPr>
            <w:tcW w:w="2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 w:hint="eastAsia"/>
              </w:rPr>
              <w:t>課</w:t>
            </w:r>
            <w:r w:rsidRPr="00B37466">
              <w:rPr>
                <w:rFonts w:ascii="標楷體" w:eastAsia="標楷體" w:hAnsi="標楷體"/>
              </w:rPr>
              <w:t xml:space="preserve"> </w:t>
            </w:r>
            <w:r w:rsidRPr="00B37466">
              <w:rPr>
                <w:rFonts w:ascii="標楷體" w:eastAsia="標楷體" w:hAnsi="標楷體" w:hint="eastAsia"/>
              </w:rPr>
              <w:t>稅</w:t>
            </w:r>
            <w:r w:rsidRPr="00B37466">
              <w:rPr>
                <w:rFonts w:ascii="標楷體" w:eastAsia="標楷體" w:hAnsi="標楷體"/>
              </w:rPr>
              <w:t xml:space="preserve"> </w:t>
            </w:r>
            <w:r w:rsidRPr="00B37466">
              <w:rPr>
                <w:rFonts w:ascii="標楷體" w:eastAsia="標楷體" w:hAnsi="標楷體" w:hint="eastAsia"/>
              </w:rPr>
              <w:t>所</w:t>
            </w:r>
            <w:r w:rsidRPr="00B37466">
              <w:rPr>
                <w:rFonts w:ascii="標楷體" w:eastAsia="標楷體" w:hAnsi="標楷體"/>
              </w:rPr>
              <w:t xml:space="preserve"> </w:t>
            </w:r>
            <w:r w:rsidRPr="00B37466">
              <w:rPr>
                <w:rFonts w:ascii="標楷體" w:eastAsia="標楷體" w:hAnsi="標楷體" w:hint="eastAsia"/>
              </w:rPr>
              <w:t>得</w:t>
            </w:r>
            <w:r w:rsidRPr="00B37466">
              <w:rPr>
                <w:rFonts w:ascii="標楷體" w:eastAsia="標楷體" w:hAnsi="標楷體"/>
              </w:rPr>
              <w:t xml:space="preserve"> </w:t>
            </w:r>
            <w:r w:rsidRPr="00B37466">
              <w:rPr>
                <w:rFonts w:ascii="標楷體" w:eastAsia="標楷體" w:hAnsi="標楷體" w:hint="eastAsia"/>
              </w:rPr>
              <w:t>額</w:t>
            </w:r>
            <w:r w:rsidRPr="00B37466">
              <w:rPr>
                <w:rFonts w:ascii="標楷體" w:eastAsia="標楷體" w:hAnsi="標楷體"/>
              </w:rPr>
              <w:t xml:space="preserve"> </w:t>
            </w:r>
            <w:r w:rsidRPr="00B37466">
              <w:rPr>
                <w:rFonts w:ascii="標楷體" w:eastAsia="標楷體" w:hAnsi="標楷體" w:hint="eastAsia"/>
              </w:rPr>
              <w:t>級</w:t>
            </w:r>
            <w:r w:rsidRPr="00B37466">
              <w:rPr>
                <w:rFonts w:ascii="標楷體" w:eastAsia="標楷體" w:hAnsi="標楷體"/>
              </w:rPr>
              <w:t xml:space="preserve"> </w:t>
            </w:r>
            <w:r w:rsidRPr="00B37466">
              <w:rPr>
                <w:rFonts w:ascii="標楷體" w:eastAsia="標楷體" w:hAnsi="標楷體" w:hint="eastAsia"/>
              </w:rPr>
              <w:t>距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 w:hint="eastAsia"/>
              </w:rPr>
              <w:t>稅率</w:t>
            </w:r>
          </w:p>
        </w:tc>
        <w:tc>
          <w:tcPr>
            <w:tcW w:w="86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 w:hint="eastAsia"/>
              </w:rPr>
              <w:t>速　　　　算　　　　公　　　　式</w:t>
            </w:r>
          </w:p>
        </w:tc>
      </w:tr>
      <w:tr w:rsidR="00486067" w:rsidRPr="00B37466" w:rsidTr="005903FC">
        <w:trPr>
          <w:trHeight w:val="428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>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 xml:space="preserve"> 12</w:t>
            </w:r>
            <w:r w:rsidRPr="00B37466">
              <w:rPr>
                <w:rFonts w:ascii="標楷體" w:eastAsia="標楷體" w:hAnsi="標楷體" w:hint="eastAsia"/>
              </w:rPr>
              <w:t>萬元以下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 w:hint="eastAsia"/>
              </w:rPr>
              <w:t>免徵</w:t>
            </w:r>
          </w:p>
        </w:tc>
        <w:tc>
          <w:tcPr>
            <w:tcW w:w="8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86067" w:rsidRPr="00B37466" w:rsidRDefault="00486067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486067" w:rsidRPr="00B37466" w:rsidTr="00B37466">
        <w:trPr>
          <w:trHeight w:val="665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>2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 xml:space="preserve"> </w:t>
            </w:r>
            <w:r w:rsidRPr="00B37466">
              <w:rPr>
                <w:rFonts w:ascii="標楷體" w:eastAsia="標楷體" w:hAnsi="標楷體" w:hint="eastAsia"/>
              </w:rPr>
              <w:t>超過</w:t>
            </w:r>
            <w:r w:rsidRPr="00B37466">
              <w:rPr>
                <w:rFonts w:ascii="標楷體" w:eastAsia="標楷體" w:hAnsi="標楷體"/>
              </w:rPr>
              <w:t>12</w:t>
            </w:r>
            <w:r w:rsidRPr="00B37466">
              <w:rPr>
                <w:rFonts w:ascii="標楷體" w:eastAsia="標楷體" w:hAnsi="標楷體" w:hint="eastAsia"/>
              </w:rPr>
              <w:t>萬元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>17%</w:t>
            </w:r>
          </w:p>
        </w:tc>
        <w:tc>
          <w:tcPr>
            <w:tcW w:w="8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4" w:type="dxa"/>
              <w:right w:w="284" w:type="dxa"/>
            </w:tcMar>
            <w:vAlign w:val="center"/>
          </w:tcPr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>1. P</w:t>
            </w:r>
            <w:r w:rsidRPr="00B37466">
              <w:rPr>
                <w:rFonts w:ascii="標楷體" w:eastAsia="標楷體" w:hAnsi="標楷體" w:hint="eastAsia"/>
              </w:rPr>
              <w:t>在</w:t>
            </w:r>
            <w:r w:rsidRPr="00B37466">
              <w:rPr>
                <w:rFonts w:ascii="標楷體" w:eastAsia="標楷體" w:hAnsi="標楷體"/>
              </w:rPr>
              <w:t>181,818</w:t>
            </w:r>
            <w:r w:rsidRPr="00B37466">
              <w:rPr>
                <w:rFonts w:ascii="標楷體" w:eastAsia="標楷體" w:hAnsi="標楷體" w:hint="eastAsia"/>
              </w:rPr>
              <w:t>元以下者</w:t>
            </w:r>
            <w:r w:rsidRPr="00B37466">
              <w:rPr>
                <w:rFonts w:ascii="標楷體" w:eastAsia="標楷體" w:hAnsi="標楷體"/>
              </w:rPr>
              <w:t xml:space="preserve">  T=(P-120,000</w:t>
            </w:r>
            <w:r w:rsidRPr="00B37466">
              <w:rPr>
                <w:rFonts w:ascii="標楷體" w:eastAsia="標楷體" w:hAnsi="標楷體" w:hint="eastAsia"/>
              </w:rPr>
              <w:t>元</w:t>
            </w:r>
            <w:r w:rsidRPr="00B37466">
              <w:rPr>
                <w:rFonts w:ascii="標楷體" w:eastAsia="標楷體" w:hAnsi="標楷體"/>
              </w:rPr>
              <w:t>)</w:t>
            </w:r>
            <w:r w:rsidRPr="00B37466">
              <w:rPr>
                <w:rFonts w:ascii="標楷體" w:eastAsia="標楷體" w:hAnsi="標楷體" w:hint="eastAsia"/>
              </w:rPr>
              <w:t>×</w:t>
            </w:r>
            <w:r w:rsidRPr="00B37466">
              <w:rPr>
                <w:rFonts w:ascii="標楷體" w:eastAsia="標楷體" w:hAnsi="標楷體"/>
              </w:rPr>
              <w:t>1/2</w:t>
            </w:r>
          </w:p>
          <w:p w:rsidR="00486067" w:rsidRPr="00B37466" w:rsidRDefault="00117E9D" w:rsidP="005903FC">
            <w:pPr>
              <w:keepLines/>
              <w:tabs>
                <w:tab w:val="left" w:pos="1380"/>
              </w:tabs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>2. P</w:t>
            </w:r>
            <w:r w:rsidRPr="00B37466">
              <w:rPr>
                <w:rFonts w:ascii="標楷體" w:eastAsia="標楷體" w:hAnsi="標楷體" w:hint="eastAsia"/>
              </w:rPr>
              <w:t>超過</w:t>
            </w:r>
            <w:r w:rsidRPr="00B37466">
              <w:rPr>
                <w:rFonts w:ascii="標楷體" w:eastAsia="標楷體" w:hAnsi="標楷體"/>
              </w:rPr>
              <w:t>181,818</w:t>
            </w:r>
            <w:r w:rsidRPr="00B37466">
              <w:rPr>
                <w:rFonts w:ascii="標楷體" w:eastAsia="標楷體" w:hAnsi="標楷體" w:hint="eastAsia"/>
              </w:rPr>
              <w:t>元者</w:t>
            </w:r>
            <w:r w:rsidRPr="00B37466">
              <w:rPr>
                <w:rFonts w:ascii="標楷體" w:eastAsia="標楷體" w:hAnsi="標楷體"/>
              </w:rPr>
              <w:t xml:space="preserve">    T=P</w:t>
            </w:r>
            <w:r w:rsidRPr="00B37466">
              <w:rPr>
                <w:rFonts w:ascii="標楷體" w:eastAsia="標楷體" w:hAnsi="標楷體" w:hint="eastAsia"/>
              </w:rPr>
              <w:t>×</w:t>
            </w:r>
            <w:r w:rsidRPr="00B37466">
              <w:rPr>
                <w:rFonts w:ascii="標楷體" w:eastAsia="標楷體" w:hAnsi="標楷體"/>
              </w:rPr>
              <w:t>17</w:t>
            </w:r>
            <w:r w:rsidRPr="00B37466">
              <w:rPr>
                <w:rFonts w:ascii="標楷體" w:eastAsia="標楷體" w:hAnsi="標楷體" w:hint="eastAsia"/>
              </w:rPr>
              <w:t>﹪</w:t>
            </w:r>
          </w:p>
        </w:tc>
      </w:tr>
      <w:tr w:rsidR="00486067" w:rsidRPr="00B37466" w:rsidTr="00660790">
        <w:trPr>
          <w:trHeight w:val="1238"/>
        </w:trPr>
        <w:tc>
          <w:tcPr>
            <w:tcW w:w="13109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6067" w:rsidRPr="00B37466" w:rsidRDefault="00117E9D" w:rsidP="00531637">
            <w:pPr>
              <w:keepLines/>
              <w:spacing w:beforeLines="25" w:before="90" w:line="28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 w:hint="eastAsia"/>
              </w:rPr>
              <w:t>附註：</w:t>
            </w:r>
            <w:r w:rsidRPr="00B37466">
              <w:rPr>
                <w:rFonts w:ascii="標楷體" w:eastAsia="標楷體" w:hAnsi="標楷體"/>
              </w:rPr>
              <w:t>1.T=</w:t>
            </w:r>
            <w:r w:rsidRPr="00B37466">
              <w:rPr>
                <w:rFonts w:ascii="標楷體" w:eastAsia="標楷體" w:hAnsi="標楷體" w:hint="eastAsia"/>
              </w:rPr>
              <w:t xml:space="preserve">稅額　　　　　　　</w:t>
            </w:r>
            <w:r w:rsidRPr="00B37466">
              <w:rPr>
                <w:rFonts w:ascii="標楷體" w:eastAsia="標楷體" w:hAnsi="標楷體"/>
              </w:rPr>
              <w:t xml:space="preserve">        P=</w:t>
            </w:r>
            <w:r w:rsidRPr="00B37466">
              <w:rPr>
                <w:rFonts w:ascii="標楷體" w:eastAsia="標楷體" w:hAnsi="標楷體" w:hint="eastAsia"/>
              </w:rPr>
              <w:t>課稅所得額</w:t>
            </w:r>
          </w:p>
          <w:p w:rsidR="00B37466" w:rsidRDefault="00117E9D" w:rsidP="00531637">
            <w:pPr>
              <w:keepLines/>
              <w:tabs>
                <w:tab w:val="left" w:pos="1380"/>
                <w:tab w:val="left" w:pos="4050"/>
              </w:tabs>
              <w:spacing w:before="25" w:line="280" w:lineRule="exact"/>
              <w:ind w:firstLineChars="300" w:firstLine="720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>2.</w:t>
            </w:r>
            <w:r w:rsidRPr="00B37466">
              <w:rPr>
                <w:rFonts w:ascii="標楷體" w:eastAsia="標楷體" w:hAnsi="標楷體" w:hint="eastAsia"/>
              </w:rPr>
              <w:t>課稅所得額超過</w:t>
            </w:r>
            <w:r w:rsidRPr="00B37466">
              <w:rPr>
                <w:rFonts w:ascii="標楷體" w:eastAsia="標楷體" w:hAnsi="標楷體"/>
              </w:rPr>
              <w:t>12</w:t>
            </w:r>
            <w:r w:rsidRPr="00B37466">
              <w:rPr>
                <w:rFonts w:ascii="標楷體" w:eastAsia="標楷體" w:hAnsi="標楷體" w:hint="eastAsia"/>
              </w:rPr>
              <w:t>萬元者，就其全部課稅所得額課徵</w:t>
            </w:r>
            <w:r w:rsidRPr="00B37466">
              <w:rPr>
                <w:rFonts w:ascii="標楷體" w:eastAsia="標楷體" w:hAnsi="標楷體"/>
              </w:rPr>
              <w:t>17%</w:t>
            </w:r>
            <w:r w:rsidRPr="00B37466">
              <w:rPr>
                <w:rFonts w:ascii="標楷體" w:eastAsia="標楷體" w:hAnsi="標楷體" w:hint="eastAsia"/>
              </w:rPr>
              <w:t>，但其應納稅額不得超過課稅所得額超過</w:t>
            </w:r>
            <w:r w:rsidRPr="00B37466">
              <w:rPr>
                <w:rFonts w:ascii="標楷體" w:eastAsia="標楷體" w:hAnsi="標楷體"/>
              </w:rPr>
              <w:t>12</w:t>
            </w:r>
            <w:r w:rsidRPr="00B37466">
              <w:rPr>
                <w:rFonts w:ascii="標楷體" w:eastAsia="標楷體" w:hAnsi="標楷體" w:hint="eastAsia"/>
              </w:rPr>
              <w:t>萬元部分之半</w:t>
            </w:r>
            <w:r w:rsidR="00B37466">
              <w:rPr>
                <w:rFonts w:ascii="標楷體" w:eastAsia="標楷體" w:hAnsi="標楷體" w:hint="eastAsia"/>
              </w:rPr>
              <w:t xml:space="preserve">  </w:t>
            </w:r>
          </w:p>
          <w:p w:rsidR="00486067" w:rsidRPr="00B37466" w:rsidRDefault="00B37466" w:rsidP="00531637">
            <w:pPr>
              <w:keepLines/>
              <w:tabs>
                <w:tab w:val="left" w:pos="1380"/>
                <w:tab w:val="left" w:pos="4050"/>
              </w:tabs>
              <w:spacing w:before="25" w:line="280" w:lineRule="exact"/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117E9D" w:rsidRPr="00B37466">
              <w:rPr>
                <w:rFonts w:ascii="標楷體" w:eastAsia="標楷體" w:hAnsi="標楷體" w:hint="eastAsia"/>
              </w:rPr>
              <w:t>數。</w:t>
            </w:r>
          </w:p>
          <w:p w:rsidR="00486067" w:rsidRPr="00B37466" w:rsidRDefault="00117E9D" w:rsidP="00531637">
            <w:pPr>
              <w:keepLines/>
              <w:tabs>
                <w:tab w:val="left" w:pos="1380"/>
                <w:tab w:val="left" w:pos="4050"/>
              </w:tabs>
              <w:spacing w:before="25" w:afterLines="30" w:after="108" w:line="280" w:lineRule="exact"/>
              <w:ind w:firstLineChars="300" w:firstLine="720"/>
              <w:rPr>
                <w:rFonts w:ascii="標楷體" w:eastAsia="標楷體" w:hAnsi="標楷體"/>
              </w:rPr>
            </w:pPr>
            <w:r w:rsidRPr="00B37466">
              <w:rPr>
                <w:rFonts w:ascii="標楷體" w:eastAsia="標楷體" w:hAnsi="標楷體"/>
              </w:rPr>
              <w:t>3.</w:t>
            </w:r>
            <w:r w:rsidRPr="00B37466">
              <w:rPr>
                <w:rFonts w:ascii="標楷體" w:eastAsia="標楷體" w:hAnsi="標楷體" w:hint="eastAsia"/>
              </w:rPr>
              <w:t>獨資、合夥組織營利事業辦理清算申報時，應按上述稅率計算應納稅額，以其半數填入第</w:t>
            </w:r>
            <w:r w:rsidRPr="00B37466">
              <w:rPr>
                <w:rFonts w:ascii="標楷體" w:eastAsia="標楷體" w:hAnsi="標楷體"/>
              </w:rPr>
              <w:t>20</w:t>
            </w:r>
            <w:r w:rsidRPr="00B37466">
              <w:rPr>
                <w:rFonts w:ascii="標楷體" w:eastAsia="標楷體" w:hAnsi="標楷體" w:hint="eastAsia"/>
              </w:rPr>
              <w:t>欄。</w:t>
            </w:r>
          </w:p>
        </w:tc>
      </w:tr>
    </w:tbl>
    <w:p w:rsidR="00486067" w:rsidRPr="00B37466" w:rsidRDefault="00117E9D" w:rsidP="00B37466">
      <w:pPr>
        <w:pStyle w:val="a4"/>
        <w:spacing w:before="120" w:line="300" w:lineRule="exact"/>
        <w:ind w:left="480" w:hangingChars="200" w:hanging="480"/>
        <w:jc w:val="both"/>
        <w:rPr>
          <w:rFonts w:ascii="Arial" w:hAnsi="標楷體" w:cs="Arial"/>
          <w:sz w:val="24"/>
          <w:shd w:val="clear" w:color="auto" w:fill="auto"/>
        </w:rPr>
      </w:pPr>
      <w:r w:rsidRPr="00B37466">
        <w:rPr>
          <w:rFonts w:hAnsi="標楷體" w:hint="eastAsia"/>
          <w:sz w:val="24"/>
          <w:shd w:val="clear" w:color="auto" w:fill="auto"/>
        </w:rPr>
        <w:t>十、</w:t>
      </w:r>
      <w:r w:rsidRPr="00B37466">
        <w:rPr>
          <w:rFonts w:hAnsi="標楷體" w:cs="Arial" w:hint="eastAsia"/>
          <w:sz w:val="24"/>
          <w:shd w:val="clear" w:color="auto" w:fill="auto"/>
        </w:rPr>
        <w:t>營利事業有大陸地區來源所得者，應</w:t>
      </w:r>
      <w:proofErr w:type="gramStart"/>
      <w:r w:rsidRPr="00B37466">
        <w:rPr>
          <w:rFonts w:hAnsi="標楷體" w:cs="Arial" w:hint="eastAsia"/>
          <w:sz w:val="24"/>
          <w:shd w:val="clear" w:color="auto" w:fill="auto"/>
        </w:rPr>
        <w:t>併</w:t>
      </w:r>
      <w:proofErr w:type="gramEnd"/>
      <w:r w:rsidRPr="00B37466">
        <w:rPr>
          <w:rFonts w:hAnsi="標楷體" w:cs="Arial" w:hint="eastAsia"/>
          <w:sz w:val="24"/>
          <w:shd w:val="clear" w:color="auto" w:fill="auto"/>
        </w:rPr>
        <w:t>同臺灣地區來源所得課徵所得稅。但其在大陸地區已繳納之稅額，得自應納稅額中扣抵。有關該扣抵稅額應依臺灣地區與大陸地區人民關係條例第</w:t>
      </w:r>
      <w:r w:rsidRPr="00B37466">
        <w:rPr>
          <w:rFonts w:hAnsi="標楷體" w:cs="Arial"/>
          <w:sz w:val="24"/>
          <w:shd w:val="clear" w:color="auto" w:fill="auto"/>
        </w:rPr>
        <w:t>24</w:t>
      </w:r>
      <w:r w:rsidRPr="00B37466">
        <w:rPr>
          <w:rFonts w:hAnsi="標楷體" w:cs="Arial" w:hint="eastAsia"/>
          <w:sz w:val="24"/>
          <w:shd w:val="clear" w:color="auto" w:fill="auto"/>
        </w:rPr>
        <w:t>條及同法施行細則第</w:t>
      </w:r>
      <w:r w:rsidRPr="00B37466">
        <w:rPr>
          <w:rFonts w:hAnsi="標楷體" w:cs="Arial"/>
          <w:sz w:val="24"/>
          <w:shd w:val="clear" w:color="auto" w:fill="auto"/>
        </w:rPr>
        <w:t>21</w:t>
      </w:r>
      <w:r w:rsidRPr="00B37466">
        <w:rPr>
          <w:rFonts w:hAnsi="標楷體" w:cs="Arial" w:hint="eastAsia"/>
          <w:sz w:val="24"/>
          <w:shd w:val="clear" w:color="auto" w:fill="auto"/>
        </w:rPr>
        <w:t>條規定計算。</w:t>
      </w:r>
    </w:p>
    <w:p w:rsidR="00486067" w:rsidRPr="00B37466" w:rsidRDefault="00117E9D" w:rsidP="00B37466">
      <w:pPr>
        <w:pStyle w:val="a4"/>
        <w:spacing w:beforeLines="20" w:before="72" w:line="300" w:lineRule="exact"/>
        <w:ind w:left="684" w:hangingChars="285" w:hanging="684"/>
        <w:jc w:val="both"/>
        <w:rPr>
          <w:rFonts w:ascii="Times New Roman" w:hAnsi="標楷體"/>
          <w:sz w:val="24"/>
          <w:shd w:val="clear" w:color="auto" w:fill="auto"/>
        </w:rPr>
      </w:pPr>
      <w:r w:rsidRPr="00B37466">
        <w:rPr>
          <w:rFonts w:hAnsi="標楷體" w:cs="Arial" w:hint="eastAsia"/>
          <w:sz w:val="24"/>
          <w:shd w:val="clear" w:color="auto" w:fill="auto"/>
        </w:rPr>
        <w:t>十一、</w:t>
      </w:r>
      <w:r w:rsidRPr="00B37466">
        <w:rPr>
          <w:rFonts w:hAnsi="標楷體" w:hint="eastAsia"/>
          <w:sz w:val="24"/>
          <w:shd w:val="clear" w:color="auto" w:fill="auto"/>
        </w:rPr>
        <w:t>獨資、合夥組織營利事業辦理清算申報時，應以其全年應納稅額之半數，減除尚未抵繳之扣繳稅額，計算其應納稅額，並於申報前自行繳納；其營利事業所得額減除全年應納稅額半數後之餘額，應由獨資資本主或合夥組織合夥人列為營利所得課徵綜合所得稅。</w:t>
      </w:r>
    </w:p>
    <w:p w:rsidR="00486067" w:rsidRPr="00B37466" w:rsidRDefault="00117E9D" w:rsidP="000175E7">
      <w:pPr>
        <w:pStyle w:val="a4"/>
        <w:spacing w:beforeLines="20" w:before="72" w:line="300" w:lineRule="exact"/>
        <w:ind w:left="708" w:hangingChars="295" w:hanging="708"/>
        <w:jc w:val="distribute"/>
        <w:rPr>
          <w:rFonts w:hAnsi="標楷體"/>
          <w:sz w:val="24"/>
          <w:shd w:val="clear" w:color="auto" w:fill="auto"/>
        </w:rPr>
      </w:pPr>
      <w:r w:rsidRPr="00B37466">
        <w:rPr>
          <w:rFonts w:hAnsi="標楷體" w:cs="Arial" w:hint="eastAsia"/>
          <w:sz w:val="24"/>
          <w:shd w:val="clear" w:color="auto" w:fill="auto"/>
        </w:rPr>
        <w:t>十二、</w:t>
      </w:r>
      <w:r w:rsidRPr="00B37466">
        <w:rPr>
          <w:rFonts w:hAnsi="標楷體" w:hint="eastAsia"/>
          <w:sz w:val="24"/>
          <w:shd w:val="clear" w:color="auto" w:fill="auto"/>
        </w:rPr>
        <w:t>納稅義務人已依所得稅法規定辦理清算申報，而對依所得稅法規定應申報課稅之所得額有漏報或短報情事者，處以所漏稅額</w:t>
      </w:r>
      <w:r w:rsidRPr="00B37466">
        <w:rPr>
          <w:rFonts w:hAnsi="標楷體"/>
          <w:sz w:val="24"/>
          <w:shd w:val="clear" w:color="auto" w:fill="auto"/>
        </w:rPr>
        <w:t>2</w:t>
      </w:r>
      <w:r w:rsidRPr="00B37466">
        <w:rPr>
          <w:rFonts w:hAnsi="標楷體" w:hint="eastAsia"/>
          <w:sz w:val="24"/>
          <w:shd w:val="clear" w:color="auto" w:fill="auto"/>
        </w:rPr>
        <w:t>倍以下之罰鍰；納稅義務人未依所得稅法規定自行辦理清算申報，而經稽徵機關調查，發現有依所得稅法規定課稅之所得額者，除依法核定補徵應納稅額外，應照補徵稅額，處</w:t>
      </w:r>
      <w:r w:rsidRPr="00B37466">
        <w:rPr>
          <w:rFonts w:hAnsi="標楷體"/>
          <w:sz w:val="24"/>
          <w:shd w:val="clear" w:color="auto" w:fill="auto"/>
        </w:rPr>
        <w:t>3</w:t>
      </w:r>
      <w:r w:rsidRPr="00B37466">
        <w:rPr>
          <w:rFonts w:hAnsi="標楷體" w:hint="eastAsia"/>
          <w:sz w:val="24"/>
          <w:shd w:val="clear" w:color="auto" w:fill="auto"/>
        </w:rPr>
        <w:t>倍以下之罰鍰。前開納稅義務人為獨資、合夥組織之營利事業者，應就稽徵機關核定短漏之課稅所得額，按所漏稅額之半數，分別按其是否已依所得稅法規定自行辦理申報處</w:t>
      </w:r>
      <w:r w:rsidRPr="00B37466">
        <w:rPr>
          <w:rFonts w:hAnsi="標楷體"/>
          <w:sz w:val="24"/>
          <w:shd w:val="clear" w:color="auto" w:fill="auto"/>
        </w:rPr>
        <w:t>2</w:t>
      </w:r>
      <w:r w:rsidRPr="00B37466">
        <w:rPr>
          <w:rFonts w:hAnsi="標楷體" w:hint="eastAsia"/>
          <w:sz w:val="24"/>
          <w:shd w:val="clear" w:color="auto" w:fill="auto"/>
        </w:rPr>
        <w:t>倍或</w:t>
      </w:r>
      <w:r w:rsidRPr="00B37466">
        <w:rPr>
          <w:rFonts w:hAnsi="標楷體"/>
          <w:sz w:val="24"/>
          <w:shd w:val="clear" w:color="auto" w:fill="auto"/>
        </w:rPr>
        <w:t>3</w:t>
      </w:r>
      <w:r w:rsidRPr="00B37466">
        <w:rPr>
          <w:rFonts w:hAnsi="標楷體" w:hint="eastAsia"/>
          <w:sz w:val="24"/>
          <w:shd w:val="clear" w:color="auto" w:fill="auto"/>
        </w:rPr>
        <w:t>倍以下之罰鍰。</w:t>
      </w:r>
    </w:p>
    <w:p w:rsidR="00486067" w:rsidRPr="00B37466" w:rsidRDefault="00D67DD6" w:rsidP="00B37466">
      <w:pPr>
        <w:spacing w:before="50" w:line="300" w:lineRule="exact"/>
        <w:ind w:left="720" w:hangingChars="300" w:hanging="720"/>
        <w:jc w:val="both"/>
        <w:rPr>
          <w:rFonts w:ascii="標楷體" w:eastAsia="標楷體" w:hAnsi="標楷體"/>
          <w:color w:val="000000" w:themeColor="text1"/>
        </w:rPr>
      </w:pPr>
      <w:r w:rsidRPr="00B37466">
        <w:rPr>
          <w:rFonts w:ascii="標楷體" w:eastAsia="標楷體" w:hAnsi="標楷體" w:hint="eastAsia"/>
        </w:rPr>
        <w:t>十三、</w:t>
      </w:r>
      <w:r w:rsidR="00130B89" w:rsidRPr="00130B89">
        <w:rPr>
          <w:rFonts w:ascii="標楷體" w:eastAsia="標楷體" w:hAnsi="標楷體" w:hint="eastAsia"/>
        </w:rPr>
        <w:t>105年1月1日起，</w:t>
      </w:r>
      <w:r w:rsidR="003A575D" w:rsidRPr="00B37466">
        <w:rPr>
          <w:rFonts w:ascii="標楷體" w:eastAsia="標楷體" w:hAnsi="標楷體" w:hint="eastAsia"/>
        </w:rPr>
        <w:t>有適用房地合一課徵所得稅新制(參照所得稅法第4條之4及第24條之5規定)之房屋、土地或股權者，應填報本申報書第6頁「</w:t>
      </w:r>
      <w:r w:rsidR="00130B89" w:rsidRPr="00130B89">
        <w:rPr>
          <w:rFonts w:ascii="標楷體" w:eastAsia="標楷體" w:hAnsi="標楷體" w:hint="eastAsia"/>
        </w:rPr>
        <w:t>105年1月1日起，</w:t>
      </w:r>
      <w:r w:rsidR="003A575D" w:rsidRPr="00B37466">
        <w:rPr>
          <w:rFonts w:ascii="標楷體" w:eastAsia="標楷體" w:hAnsi="標楷體" w:hint="eastAsia"/>
        </w:rPr>
        <w:t>交易符合所得稅法第4條之4</w:t>
      </w:r>
      <w:r w:rsidR="00CD79AE" w:rsidRPr="00CD79AE">
        <w:rPr>
          <w:rFonts w:ascii="標楷體" w:eastAsia="標楷體" w:hAnsi="標楷體" w:hint="eastAsia"/>
          <w:highlight w:val="green"/>
        </w:rPr>
        <w:t>第1項</w:t>
      </w:r>
      <w:r w:rsidR="003A575D" w:rsidRPr="00B37466">
        <w:rPr>
          <w:rFonts w:ascii="標楷體" w:eastAsia="標楷體" w:hAnsi="標楷體" w:hint="eastAsia"/>
        </w:rPr>
        <w:t>、第24條之5</w:t>
      </w:r>
      <w:r w:rsidR="00CD79AE" w:rsidRPr="00CD79AE">
        <w:rPr>
          <w:rFonts w:ascii="標楷體" w:eastAsia="標楷體" w:hAnsi="標楷體" w:hint="eastAsia"/>
          <w:highlight w:val="green"/>
        </w:rPr>
        <w:t>第4項</w:t>
      </w:r>
      <w:r w:rsidR="003A575D" w:rsidRPr="00B37466">
        <w:rPr>
          <w:rFonts w:ascii="標楷體" w:eastAsia="標楷體" w:hAnsi="標楷體" w:hint="eastAsia"/>
        </w:rPr>
        <w:t>規定之房屋、土地及股權之收入、成本、費用、損失明細表」。總機構在中華民國境外之營利事業，在境內有固定營業場所或營業代理人者，交易上開房屋、土地或股權之損益應先填入第1頁計算表相關損益欄位，再於第58欄減除，並填報本申報書第6頁，計算應納稅額填入</w:t>
      </w:r>
      <w:r w:rsidR="003A575D" w:rsidRPr="00B37466">
        <w:rPr>
          <w:rFonts w:ascii="標楷體" w:eastAsia="標楷體" w:hAnsi="標楷體" w:hint="eastAsia"/>
          <w:color w:val="000000" w:themeColor="text1"/>
        </w:rPr>
        <w:t>第33欄；符合所得稅法第4條之5規定免納所得稅之土地交易損益，請填入第18欄。</w:t>
      </w:r>
    </w:p>
    <w:p w:rsidR="005903FC" w:rsidRPr="00B37466" w:rsidRDefault="005903FC" w:rsidP="00B37466">
      <w:pPr>
        <w:spacing w:before="50" w:line="300" w:lineRule="exact"/>
        <w:ind w:left="720" w:hangingChars="300" w:hanging="720"/>
        <w:jc w:val="both"/>
        <w:rPr>
          <w:rFonts w:ascii="標楷體" w:eastAsia="標楷體" w:hAnsi="標楷體"/>
          <w:color w:val="000000" w:themeColor="text1"/>
        </w:rPr>
      </w:pPr>
      <w:r w:rsidRPr="00B37466">
        <w:rPr>
          <w:rFonts w:ascii="標楷體" w:eastAsia="標楷體" w:hAnsi="標楷體" w:hint="eastAsia"/>
          <w:color w:val="000000" w:themeColor="text1"/>
        </w:rPr>
        <w:t>十四、本申報書「帳載清算金額」欄，應就帳簿記載之清算金額填列，「自行依法調整後金額」欄，應依照稅法及其他有關規定，將帳載清算金額分別調整計列之。若「自行依法調整後金額」欄未填(即空白)，視同與「帳載清算金額」欄相同。如有下列事項得免予計入「自行依法調整後金額」欄：</w:t>
      </w:r>
    </w:p>
    <w:p w:rsidR="005903FC" w:rsidRPr="00B37466" w:rsidRDefault="00B37466" w:rsidP="00B37466">
      <w:pPr>
        <w:spacing w:before="50" w:line="300" w:lineRule="exact"/>
        <w:ind w:left="720" w:hangingChars="300" w:hanging="720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</w:t>
      </w:r>
      <w:r w:rsidR="005903FC" w:rsidRPr="00B37466">
        <w:rPr>
          <w:rFonts w:ascii="標楷體" w:eastAsia="標楷體" w:hAnsi="標楷體" w:hint="eastAsia"/>
          <w:color w:val="000000" w:themeColor="text1"/>
        </w:rPr>
        <w:t>(一)符合所得稅法第42條規定免計入所得額之轉投資收益。</w:t>
      </w:r>
    </w:p>
    <w:p w:rsidR="005903FC" w:rsidRPr="00B37466" w:rsidRDefault="00B37466" w:rsidP="00B37466">
      <w:pPr>
        <w:spacing w:before="50" w:line="300" w:lineRule="exact"/>
        <w:ind w:left="720" w:hangingChars="300" w:hanging="720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</w:t>
      </w:r>
      <w:r w:rsidR="005903FC" w:rsidRPr="00B37466">
        <w:rPr>
          <w:rFonts w:ascii="標楷體" w:eastAsia="標楷體" w:hAnsi="標楷體" w:hint="eastAsia"/>
          <w:color w:val="000000" w:themeColor="text1"/>
        </w:rPr>
        <w:t>(二)符合已廢止之88年12月31日修正公布前促進產業升級條例第16條及第17條規定緩課之股票股利。</w:t>
      </w:r>
    </w:p>
    <w:p w:rsidR="00B37466" w:rsidRPr="00430AF7" w:rsidRDefault="00B37466" w:rsidP="00B37466">
      <w:pPr>
        <w:spacing w:before="50" w:line="300" w:lineRule="exact"/>
        <w:ind w:left="721" w:hangingChars="300" w:hanging="721"/>
        <w:jc w:val="both"/>
        <w:rPr>
          <w:rFonts w:ascii="標楷體" w:eastAsia="標楷體" w:hAnsi="標楷體"/>
          <w:b/>
          <w:color w:val="FF0000"/>
          <w:highlight w:val="yellow"/>
        </w:rPr>
      </w:pPr>
      <w:r w:rsidRPr="00430AF7">
        <w:rPr>
          <w:rFonts w:ascii="標楷體" w:eastAsia="標楷體" w:hAnsi="標楷體" w:hint="eastAsia"/>
          <w:b/>
          <w:color w:val="FF0000"/>
          <w:highlight w:val="yellow"/>
        </w:rPr>
        <w:t>十五、納稅者權利保護法第7條第3項規定：「納稅者基於獲得租稅利益，違背稅法之立法目的，濫用法律形式，以非常規交易規避租稅構成要件之該當，以達成與交易常規相當之經濟效果，為租稅規避。稅捐稽徵機關仍根據與實質上經濟利益相當之法律形式，成立租稅上請求權，並加徵滯納金及利息。」</w:t>
      </w:r>
    </w:p>
    <w:p w:rsidR="00B37466" w:rsidRPr="00430AF7" w:rsidRDefault="00B37466" w:rsidP="00B37466">
      <w:pPr>
        <w:spacing w:before="50" w:line="300" w:lineRule="exact"/>
        <w:ind w:left="721" w:hangingChars="300" w:hanging="721"/>
        <w:jc w:val="both"/>
        <w:rPr>
          <w:rFonts w:ascii="標楷體" w:eastAsia="標楷體" w:hAnsi="標楷體"/>
          <w:b/>
          <w:color w:val="FF0000"/>
          <w:highlight w:val="yellow"/>
        </w:rPr>
      </w:pPr>
      <w:r w:rsidRPr="00430AF7">
        <w:rPr>
          <w:rFonts w:ascii="標楷體" w:eastAsia="標楷體" w:hAnsi="標楷體" w:hint="eastAsia"/>
          <w:b/>
          <w:color w:val="FF0000"/>
          <w:highlight w:val="yellow"/>
        </w:rPr>
        <w:t>十六、納稅者權利保護法第7條第8項規定：「第3項情形，主管機關不得另課予逃漏稅捐之處罰。但納稅者於申報或調查時，對重要事項隱匿或為虛偽不實陳述或提供不正確資料，致使稅捐稽徵機關短漏核定稅捐者，不在此限。」</w:t>
      </w:r>
    </w:p>
    <w:p w:rsidR="000175E7" w:rsidRPr="00430AF7" w:rsidRDefault="000175E7" w:rsidP="000175E7">
      <w:pPr>
        <w:spacing w:line="300" w:lineRule="exact"/>
        <w:ind w:left="480" w:right="40" w:hangingChars="200" w:hanging="480"/>
        <w:rPr>
          <w:rFonts w:ascii="標楷體" w:eastAsia="標楷體" w:hAnsi="標楷體"/>
          <w:b/>
          <w:color w:val="FF0000"/>
          <w:highlight w:val="yellow"/>
        </w:rPr>
      </w:pPr>
      <w:r w:rsidRPr="00430AF7">
        <w:rPr>
          <w:rFonts w:ascii="標楷體" w:eastAsia="標楷體" w:hAnsi="標楷體" w:hint="eastAsia"/>
          <w:b/>
          <w:color w:val="FF0000"/>
          <w:highlight w:val="yellow"/>
        </w:rPr>
        <w:t>十七、</w:t>
      </w:r>
      <w:proofErr w:type="gramStart"/>
      <w:r w:rsidRPr="00430AF7">
        <w:rPr>
          <w:rFonts w:ascii="標楷體" w:eastAsia="標楷體" w:hAnsi="標楷體" w:hint="eastAsia"/>
          <w:b/>
          <w:color w:val="FF0000"/>
          <w:highlight w:val="yellow"/>
        </w:rPr>
        <w:t>107</w:t>
      </w:r>
      <w:proofErr w:type="gramEnd"/>
      <w:r w:rsidRPr="00430AF7">
        <w:rPr>
          <w:rFonts w:ascii="標楷體" w:eastAsia="標楷體" w:hAnsi="標楷體" w:hint="eastAsia"/>
          <w:b/>
          <w:color w:val="FF0000"/>
          <w:highlight w:val="yellow"/>
        </w:rPr>
        <w:t>年度營利事業</w:t>
      </w:r>
      <w:bookmarkStart w:id="0" w:name="_GoBack"/>
      <w:bookmarkEnd w:id="0"/>
      <w:r w:rsidRPr="00430AF7">
        <w:rPr>
          <w:rFonts w:ascii="標楷體" w:eastAsia="標楷體" w:hAnsi="標楷體" w:hint="eastAsia"/>
          <w:b/>
          <w:color w:val="FF0000"/>
          <w:highlight w:val="yellow"/>
        </w:rPr>
        <w:t>清算申報案件：</w:t>
      </w:r>
    </w:p>
    <w:p w:rsidR="000175E7" w:rsidRPr="00430AF7" w:rsidRDefault="000175E7" w:rsidP="000175E7">
      <w:pPr>
        <w:spacing w:line="300" w:lineRule="exact"/>
        <w:ind w:left="480" w:right="40" w:hangingChars="200" w:hanging="480"/>
        <w:jc w:val="distribute"/>
        <w:rPr>
          <w:rFonts w:ascii="標楷體" w:eastAsia="標楷體" w:hAnsi="標楷體"/>
          <w:b/>
          <w:color w:val="FF0000"/>
          <w:highlight w:val="yellow"/>
        </w:rPr>
      </w:pPr>
      <w:r w:rsidRPr="00430AF7">
        <w:rPr>
          <w:rFonts w:ascii="標楷體" w:eastAsia="標楷體" w:hAnsi="標楷體" w:hint="eastAsia"/>
          <w:color w:val="000000" w:themeColor="text1"/>
        </w:rPr>
        <w:t xml:space="preserve">　　　</w:t>
      </w:r>
      <w:r w:rsidRPr="00430AF7">
        <w:rPr>
          <w:rFonts w:ascii="標楷體" w:eastAsia="標楷體" w:hAnsi="標楷體" w:hint="eastAsia"/>
          <w:b/>
          <w:color w:val="FF0000"/>
          <w:highlight w:val="yellow"/>
        </w:rPr>
        <w:t>(一)營利事業課稅所得額12萬元以下免徵，超過12萬元者，就其全部課稅所得額課徵20％，但其應納稅額不得超過課稅所得</w:t>
      </w:r>
    </w:p>
    <w:p w:rsidR="000175E7" w:rsidRPr="00430AF7" w:rsidRDefault="000175E7" w:rsidP="00660790">
      <w:pPr>
        <w:spacing w:line="300" w:lineRule="exact"/>
        <w:ind w:left="1200" w:right="40" w:hangingChars="500" w:hanging="1200"/>
        <w:rPr>
          <w:rFonts w:ascii="標楷體" w:eastAsia="標楷體" w:hAnsi="標楷體"/>
          <w:b/>
          <w:color w:val="FF0000"/>
          <w:highlight w:val="yellow"/>
        </w:rPr>
      </w:pPr>
      <w:r w:rsidRPr="00430AF7">
        <w:rPr>
          <w:rFonts w:ascii="標楷體" w:eastAsia="標楷體" w:hAnsi="標楷體" w:hint="eastAsia"/>
          <w:color w:val="000000" w:themeColor="text1"/>
        </w:rPr>
        <w:t xml:space="preserve">　　　　　</w:t>
      </w:r>
      <w:r w:rsidRPr="00430AF7">
        <w:rPr>
          <w:rFonts w:ascii="標楷體" w:eastAsia="標楷體" w:hAnsi="標楷體" w:hint="eastAsia"/>
          <w:b/>
          <w:color w:val="FF0000"/>
          <w:highlight w:val="yellow"/>
        </w:rPr>
        <w:t>額超過12</w:t>
      </w:r>
      <w:r w:rsidR="0068654C">
        <w:rPr>
          <w:rFonts w:ascii="標楷體" w:eastAsia="標楷體" w:hAnsi="標楷體" w:hint="eastAsia"/>
          <w:b/>
          <w:color w:val="FF0000"/>
          <w:highlight w:val="yellow"/>
        </w:rPr>
        <w:t>萬</w:t>
      </w:r>
      <w:r w:rsidRPr="00430AF7">
        <w:rPr>
          <w:rFonts w:ascii="標楷體" w:eastAsia="標楷體" w:hAnsi="標楷體" w:hint="eastAsia"/>
          <w:b/>
          <w:color w:val="FF0000"/>
          <w:highlight w:val="yellow"/>
        </w:rPr>
        <w:t>元部分之半數。</w:t>
      </w:r>
      <w:r w:rsidR="00660790" w:rsidRPr="00660790">
        <w:rPr>
          <w:rFonts w:ascii="標楷體" w:eastAsia="標楷體" w:hAnsi="標楷體" w:hint="eastAsia"/>
          <w:b/>
          <w:color w:val="FF0000"/>
          <w:highlight w:val="green"/>
        </w:rPr>
        <w:t>營利事業課稅所得額超過12萬元未逾50萬元者，就其全部課稅所得額課徵18%，但其應納稅額不得超過課稅所得額超過12萬元部分之半數。</w:t>
      </w:r>
    </w:p>
    <w:p w:rsidR="000175E7" w:rsidRPr="00430AF7" w:rsidRDefault="000175E7" w:rsidP="000175E7">
      <w:pPr>
        <w:spacing w:line="300" w:lineRule="exact"/>
        <w:ind w:left="480" w:right="40" w:hangingChars="200" w:hanging="480"/>
        <w:rPr>
          <w:rFonts w:ascii="標楷體" w:eastAsia="標楷體" w:hAnsi="標楷體"/>
          <w:b/>
          <w:color w:val="FF0000"/>
          <w:highlight w:val="yellow"/>
        </w:rPr>
      </w:pPr>
      <w:r w:rsidRPr="00430AF7">
        <w:rPr>
          <w:rFonts w:ascii="標楷體" w:eastAsia="標楷體" w:hAnsi="標楷體" w:hint="eastAsia"/>
          <w:color w:val="000000" w:themeColor="text1"/>
        </w:rPr>
        <w:t xml:space="preserve">      </w:t>
      </w:r>
      <w:r w:rsidRPr="00430AF7">
        <w:rPr>
          <w:rFonts w:ascii="標楷體" w:eastAsia="標楷體" w:hAnsi="標楷體" w:hint="eastAsia"/>
          <w:b/>
          <w:color w:val="FF0000"/>
          <w:highlight w:val="yellow"/>
        </w:rPr>
        <w:t>(二)獨資、合夥組織之營利事業，無須計算及繳納其應納稅額。</w:t>
      </w:r>
    </w:p>
    <w:p w:rsidR="00160B12" w:rsidRPr="00B37466" w:rsidRDefault="000175E7" w:rsidP="000175E7">
      <w:pPr>
        <w:spacing w:line="300" w:lineRule="exact"/>
        <w:ind w:firstLineChars="300" w:firstLine="721"/>
        <w:rPr>
          <w:rFonts w:ascii="標楷體" w:eastAsia="標楷體" w:hAnsi="標楷體"/>
          <w:color w:val="FF0000"/>
        </w:rPr>
      </w:pPr>
      <w:r w:rsidRPr="00430AF7">
        <w:rPr>
          <w:rFonts w:ascii="標楷體" w:eastAsia="標楷體" w:hAnsi="標楷體" w:hint="eastAsia"/>
          <w:b/>
          <w:color w:val="FF0000"/>
          <w:highlight w:val="yellow"/>
        </w:rPr>
        <w:t>(三)</w:t>
      </w:r>
      <w:r w:rsidR="00C97237">
        <w:rPr>
          <w:rFonts w:ascii="標楷體" w:eastAsia="標楷體" w:hAnsi="標楷體" w:hint="eastAsia"/>
          <w:b/>
          <w:color w:val="FF0000"/>
          <w:highlight w:val="yellow"/>
        </w:rPr>
        <w:t>盈餘分配日在107年1月1</w:t>
      </w:r>
      <w:r w:rsidR="00A860E1">
        <w:rPr>
          <w:rFonts w:ascii="標楷體" w:eastAsia="標楷體" w:hAnsi="標楷體" w:hint="eastAsia"/>
          <w:b/>
          <w:color w:val="FF0000"/>
          <w:highlight w:val="yellow"/>
        </w:rPr>
        <w:t>日之</w:t>
      </w:r>
      <w:r w:rsidR="00C97237">
        <w:rPr>
          <w:rFonts w:ascii="標楷體" w:eastAsia="標楷體" w:hAnsi="標楷體" w:hint="eastAsia"/>
          <w:b/>
          <w:color w:val="FF0000"/>
          <w:highlight w:val="yellow"/>
        </w:rPr>
        <w:t>後者，</w:t>
      </w:r>
      <w:r w:rsidRPr="00430AF7">
        <w:rPr>
          <w:rFonts w:ascii="標楷體" w:eastAsia="標楷體" w:hAnsi="標楷體" w:hint="eastAsia"/>
          <w:b/>
          <w:color w:val="FF0000"/>
          <w:highlight w:val="yellow"/>
        </w:rPr>
        <w:t>免填報第4頁股東可扣抵稅額帳戶變動明細申報表。</w:t>
      </w:r>
      <w:r w:rsidR="00B37466" w:rsidRPr="000175E7">
        <w:rPr>
          <w:rFonts w:ascii="標楷體" w:eastAsia="標楷體" w:hAnsi="標楷體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7C7EDE" wp14:editId="6D1BDE0B">
                <wp:simplePos x="0" y="0"/>
                <wp:positionH relativeFrom="column">
                  <wp:posOffset>4032885</wp:posOffset>
                </wp:positionH>
                <wp:positionV relativeFrom="paragraph">
                  <wp:posOffset>661670</wp:posOffset>
                </wp:positionV>
                <wp:extent cx="1295400" cy="3429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067" w:rsidRDefault="00117E9D">
                            <w:pPr>
                              <w:jc w:val="center"/>
                              <w:rPr>
                                <w:rFonts w:eastAsia="標楷體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6"/>
                              </w:rPr>
                              <w:t>第１頁背面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C4115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7.55pt;margin-top:52.1pt;width:102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lknsQIAALk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oXcYCdpCix7YYNBKDiiy1ek7nYDTfQduZoBj62mZ6u5OFl81EnJdU7Fjt0rJvma0hOxCe9O/uDri&#10;aAuy7T/IEsLQvZEOaKhUawGhGAjQoUuP587YVAobMoqnJABTAbYrEsWwtiFocrrdKW3eMdkiu0ix&#10;gs47dHq402Z0PbnYYELmvGngnCaNeHYAmOMJxIar1mazcM38EQfxZrFZEI9Es41HgizzbvM18WZ5&#10;OJ9mV9l6nYU/bdyQJDUvSyZsmJOwQvJnjTtKfJTEWVpaNry0cDYlrXbbdaPQgYKwc/cdC3Lh5j9P&#10;w9ULuLygFEYkWEWxl88Wc4/kZOrF82DhBWG8imcBiUmWP6d0xwX7d0qoT3E8jaajmH7LLXDfa240&#10;abmB0dHwNsWLsxNNrAQ3onStNZQ34/qiFDb9p1JAu0+NdoK1Gh3VaobtAChWxVtZPoJ0lQRlgQhh&#10;3sGiluo7Rj3MjhTrb3uqGEbNewHyj0NC7LBxGzKdR7BRl5btpYWKAqBSbDAal2szDqh9p/iuhkjj&#10;gxPyFp5MxZ2an7I6PjSYD47UcZbZAXS5d15PE3f5CwAA//8DAFBLAwQUAAYACAAAACEAM4ll5N8A&#10;AAALAQAADwAAAGRycy9kb3ducmV2LnhtbEyPzU7DMBCE70h9B2srcaN206ZKQ5yqKuIKovxI3Nx4&#10;m0TE6yh2m/D2LCc47syn2ZliN7lOXHEIrScNy4UCgVR521Kt4e318S4DEaIhazpPqOEbA+zK2U1h&#10;cutHesHrMdaCQyjkRkMTY59LGaoGnQkL3yOxd/aDM5HPoZZ2MCOHu04mSm2kMy3xh8b0eGiw+jpe&#10;nIb3p/Pnx1o91w8u7Uc/KUluK7W+nU/7exARp/gHw299rg4ldzr5C9kgOg2bVbpklA21TkAwka22&#10;rJxYSbMEZFnI/xvKHwAAAP//AwBQSwECLQAUAAYACAAAACEAtoM4kv4AAADhAQAAEwAAAAAAAAAA&#10;AAAAAAAAAAAAW0NvbnRlbnRfVHlwZXNdLnhtbFBLAQItABQABgAIAAAAIQA4/SH/1gAAAJQBAAAL&#10;AAAAAAAAAAAAAAAAAC8BAABfcmVscy8ucmVsc1BLAQItABQABgAIAAAAIQAX3lknsQIAALkFAAAO&#10;AAAAAAAAAAAAAAAAAC4CAABkcnMvZTJvRG9jLnhtbFBLAQItABQABgAIAAAAIQAziWXk3wAAAAsB&#10;AAAPAAAAAAAAAAAAAAAAAAsFAABkcnMvZG93bnJldi54bWxQSwUGAAAAAAQABADzAAAAFwYAAAAA&#10;" filled="f" stroked="f">
                <v:textbox>
                  <w:txbxContent>
                    <w:p w:rsidR="00486067" w:rsidRDefault="00117E9D">
                      <w:pPr>
                        <w:jc w:val="center"/>
                        <w:rPr>
                          <w:rFonts w:eastAsia="標楷體"/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（</w:t>
                      </w:r>
                      <w:r>
                        <w:rPr>
                          <w:rFonts w:ascii="標楷體" w:eastAsia="標楷體" w:hAnsi="標楷體" w:hint="eastAsia"/>
                          <w:sz w:val="26"/>
                        </w:rPr>
                        <w:t>第１頁背面</w:t>
                      </w:r>
                      <w:r>
                        <w:rPr>
                          <w:rFonts w:hint="eastAsia"/>
                          <w:sz w:val="22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60B12" w:rsidRPr="00B37466" w:rsidSect="00660790">
      <w:footerReference w:type="default" r:id="rId8"/>
      <w:pgSz w:w="16840" w:h="23814" w:code="8"/>
      <w:pgMar w:top="851" w:right="1389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F20" w:rsidRDefault="00E54F20">
      <w:r>
        <w:separator/>
      </w:r>
    </w:p>
  </w:endnote>
  <w:endnote w:type="continuationSeparator" w:id="0">
    <w:p w:rsidR="00E54F20" w:rsidRDefault="00E5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67" w:rsidRDefault="00486067">
    <w:pPr>
      <w:pStyle w:val="a6"/>
    </w:pPr>
  </w:p>
  <w:p w:rsidR="00486067" w:rsidRDefault="004860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F20" w:rsidRDefault="00E54F20">
      <w:r>
        <w:separator/>
      </w:r>
    </w:p>
  </w:footnote>
  <w:footnote w:type="continuationSeparator" w:id="0">
    <w:p w:rsidR="00E54F20" w:rsidRDefault="00E54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E4A8A"/>
    <w:multiLevelType w:val="hybridMultilevel"/>
    <w:tmpl w:val="7A0C8950"/>
    <w:lvl w:ilvl="0" w:tplc="3384A0D4">
      <w:start w:val="1"/>
      <w:numFmt w:val="taiwaneseCountingThousand"/>
      <w:lvlText w:val="(%1)"/>
      <w:lvlJc w:val="left"/>
      <w:pPr>
        <w:ind w:left="1630" w:hanging="720"/>
      </w:pPr>
      <w:rPr>
        <w:rFonts w:eastAsia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1870" w:hanging="480"/>
      </w:pPr>
    </w:lvl>
    <w:lvl w:ilvl="2" w:tplc="0409001B" w:tentative="1">
      <w:start w:val="1"/>
      <w:numFmt w:val="lowerRoman"/>
      <w:lvlText w:val="%3."/>
      <w:lvlJc w:val="right"/>
      <w:pPr>
        <w:ind w:left="2350" w:hanging="480"/>
      </w:pPr>
    </w:lvl>
    <w:lvl w:ilvl="3" w:tplc="0409000F" w:tentative="1">
      <w:start w:val="1"/>
      <w:numFmt w:val="decimal"/>
      <w:lvlText w:val="%4."/>
      <w:lvlJc w:val="left"/>
      <w:pPr>
        <w:ind w:left="28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0" w:hanging="480"/>
      </w:pPr>
    </w:lvl>
    <w:lvl w:ilvl="5" w:tplc="0409001B" w:tentative="1">
      <w:start w:val="1"/>
      <w:numFmt w:val="lowerRoman"/>
      <w:lvlText w:val="%6."/>
      <w:lvlJc w:val="right"/>
      <w:pPr>
        <w:ind w:left="3790" w:hanging="480"/>
      </w:pPr>
    </w:lvl>
    <w:lvl w:ilvl="6" w:tplc="0409000F" w:tentative="1">
      <w:start w:val="1"/>
      <w:numFmt w:val="decimal"/>
      <w:lvlText w:val="%7."/>
      <w:lvlJc w:val="left"/>
      <w:pPr>
        <w:ind w:left="42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0" w:hanging="480"/>
      </w:pPr>
    </w:lvl>
    <w:lvl w:ilvl="8" w:tplc="0409001B" w:tentative="1">
      <w:start w:val="1"/>
      <w:numFmt w:val="lowerRoman"/>
      <w:lvlText w:val="%9."/>
      <w:lvlJc w:val="right"/>
      <w:pPr>
        <w:ind w:left="5230" w:hanging="480"/>
      </w:pPr>
    </w:lvl>
  </w:abstractNum>
  <w:abstractNum w:abstractNumId="1">
    <w:nsid w:val="5449497B"/>
    <w:multiLevelType w:val="hybridMultilevel"/>
    <w:tmpl w:val="7AE2905E"/>
    <w:lvl w:ilvl="0" w:tplc="C70A6B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7D7959AF"/>
    <w:multiLevelType w:val="hybridMultilevel"/>
    <w:tmpl w:val="F976BA0A"/>
    <w:lvl w:ilvl="0" w:tplc="B2AC17DE">
      <w:start w:val="1"/>
      <w:numFmt w:val="decimal"/>
      <w:lvlText w:val="(%1)"/>
      <w:lvlJc w:val="left"/>
      <w:pPr>
        <w:tabs>
          <w:tab w:val="num" w:pos="1005"/>
        </w:tabs>
        <w:ind w:left="1005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605"/>
        </w:tabs>
        <w:ind w:left="160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5"/>
        </w:tabs>
        <w:ind w:left="208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3045"/>
        </w:tabs>
        <w:ind w:left="304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525"/>
        </w:tabs>
        <w:ind w:left="352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005"/>
        </w:tabs>
        <w:ind w:left="400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85"/>
        </w:tabs>
        <w:ind w:left="448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5"/>
        </w:tabs>
        <w:ind w:left="4965" w:hanging="4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9D"/>
    <w:rsid w:val="000175E7"/>
    <w:rsid w:val="00117E9D"/>
    <w:rsid w:val="00130B89"/>
    <w:rsid w:val="00160B12"/>
    <w:rsid w:val="002A6B63"/>
    <w:rsid w:val="00300A55"/>
    <w:rsid w:val="00302F29"/>
    <w:rsid w:val="00356E0B"/>
    <w:rsid w:val="003914DE"/>
    <w:rsid w:val="003A078A"/>
    <w:rsid w:val="003A575D"/>
    <w:rsid w:val="004241E7"/>
    <w:rsid w:val="00430AF7"/>
    <w:rsid w:val="00476853"/>
    <w:rsid w:val="00486067"/>
    <w:rsid w:val="004E21EE"/>
    <w:rsid w:val="00531637"/>
    <w:rsid w:val="00557A97"/>
    <w:rsid w:val="005903FC"/>
    <w:rsid w:val="005C292E"/>
    <w:rsid w:val="0062149C"/>
    <w:rsid w:val="00643707"/>
    <w:rsid w:val="00660790"/>
    <w:rsid w:val="0068654C"/>
    <w:rsid w:val="006A7809"/>
    <w:rsid w:val="006C11F7"/>
    <w:rsid w:val="006D50DC"/>
    <w:rsid w:val="007244E6"/>
    <w:rsid w:val="007430FE"/>
    <w:rsid w:val="0078013E"/>
    <w:rsid w:val="007A2E3C"/>
    <w:rsid w:val="007A5EA1"/>
    <w:rsid w:val="007F589D"/>
    <w:rsid w:val="00820C3F"/>
    <w:rsid w:val="00835A6D"/>
    <w:rsid w:val="008A34BA"/>
    <w:rsid w:val="00931C8D"/>
    <w:rsid w:val="00941A44"/>
    <w:rsid w:val="009760B7"/>
    <w:rsid w:val="00991523"/>
    <w:rsid w:val="00A015A7"/>
    <w:rsid w:val="00A860E1"/>
    <w:rsid w:val="00AB0CFA"/>
    <w:rsid w:val="00B142B2"/>
    <w:rsid w:val="00B21773"/>
    <w:rsid w:val="00B2711B"/>
    <w:rsid w:val="00B344F1"/>
    <w:rsid w:val="00B37466"/>
    <w:rsid w:val="00C0408B"/>
    <w:rsid w:val="00C1459F"/>
    <w:rsid w:val="00C97237"/>
    <w:rsid w:val="00CC6876"/>
    <w:rsid w:val="00CD0C3E"/>
    <w:rsid w:val="00CD79AE"/>
    <w:rsid w:val="00D67DD6"/>
    <w:rsid w:val="00D86B03"/>
    <w:rsid w:val="00DD6C96"/>
    <w:rsid w:val="00E54F20"/>
    <w:rsid w:val="00E6147B"/>
    <w:rsid w:val="00F64BE2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本文縮排1"/>
    <w:basedOn w:val="a"/>
    <w:pPr>
      <w:spacing w:line="220" w:lineRule="exact"/>
      <w:ind w:left="672" w:hanging="672"/>
    </w:pPr>
    <w:rPr>
      <w:rFonts w:ascii="標楷體" w:eastAsia="標楷體"/>
      <w:sz w:val="22"/>
    </w:rPr>
  </w:style>
  <w:style w:type="paragraph" w:styleId="2">
    <w:name w:val="Body Text Indent 2"/>
    <w:basedOn w:val="a"/>
    <w:semiHidden/>
    <w:pPr>
      <w:spacing w:line="220" w:lineRule="exact"/>
      <w:ind w:left="658" w:hanging="658"/>
    </w:pPr>
    <w:rPr>
      <w:rFonts w:ascii="標楷體" w:eastAsia="標楷體"/>
      <w:sz w:val="22"/>
    </w:rPr>
  </w:style>
  <w:style w:type="paragraph" w:styleId="a3">
    <w:name w:val="Body Text"/>
    <w:basedOn w:val="a"/>
    <w:semiHidden/>
    <w:pPr>
      <w:spacing w:line="220" w:lineRule="exact"/>
    </w:pPr>
    <w:rPr>
      <w:rFonts w:ascii="標楷體" w:eastAsia="標楷體"/>
      <w:sz w:val="22"/>
    </w:rPr>
  </w:style>
  <w:style w:type="paragraph" w:styleId="a4">
    <w:name w:val="Body Text Indent"/>
    <w:basedOn w:val="a"/>
    <w:semiHidden/>
    <w:pPr>
      <w:spacing w:before="50" w:line="320" w:lineRule="exact"/>
    </w:pPr>
    <w:rPr>
      <w:rFonts w:ascii="標楷體" w:eastAsia="標楷體"/>
      <w:sz w:val="28"/>
      <w:shd w:val="pct15" w:color="auto" w:fill="FFFFFF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5903F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本文縮排1"/>
    <w:basedOn w:val="a"/>
    <w:pPr>
      <w:spacing w:line="220" w:lineRule="exact"/>
      <w:ind w:left="672" w:hanging="672"/>
    </w:pPr>
    <w:rPr>
      <w:rFonts w:ascii="標楷體" w:eastAsia="標楷體"/>
      <w:sz w:val="22"/>
    </w:rPr>
  </w:style>
  <w:style w:type="paragraph" w:styleId="2">
    <w:name w:val="Body Text Indent 2"/>
    <w:basedOn w:val="a"/>
    <w:semiHidden/>
    <w:pPr>
      <w:spacing w:line="220" w:lineRule="exact"/>
      <w:ind w:left="658" w:hanging="658"/>
    </w:pPr>
    <w:rPr>
      <w:rFonts w:ascii="標楷體" w:eastAsia="標楷體"/>
      <w:sz w:val="22"/>
    </w:rPr>
  </w:style>
  <w:style w:type="paragraph" w:styleId="a3">
    <w:name w:val="Body Text"/>
    <w:basedOn w:val="a"/>
    <w:semiHidden/>
    <w:pPr>
      <w:spacing w:line="220" w:lineRule="exact"/>
    </w:pPr>
    <w:rPr>
      <w:rFonts w:ascii="標楷體" w:eastAsia="標楷體"/>
      <w:sz w:val="22"/>
    </w:rPr>
  </w:style>
  <w:style w:type="paragraph" w:styleId="a4">
    <w:name w:val="Body Text Indent"/>
    <w:basedOn w:val="a"/>
    <w:semiHidden/>
    <w:pPr>
      <w:spacing w:before="50" w:line="320" w:lineRule="exact"/>
    </w:pPr>
    <w:rPr>
      <w:rFonts w:ascii="標楷體" w:eastAsia="標楷體"/>
      <w:sz w:val="28"/>
      <w:shd w:val="pct15" w:color="auto" w:fill="FFFFFF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5903F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415</Words>
  <Characters>2371</Characters>
  <Application>Microsoft Office Word</Application>
  <DocSecurity>0</DocSecurity>
  <Lines>19</Lines>
  <Paragraphs>5</Paragraphs>
  <ScaleCrop>false</ScaleCrop>
  <Company>mitac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 申　報　須　知 -----</dc:title>
  <dc:creator>iis0502</dc:creator>
  <cp:lastModifiedBy>黃楷茗</cp:lastModifiedBy>
  <cp:revision>19</cp:revision>
  <cp:lastPrinted>2018-01-19T06:01:00Z</cp:lastPrinted>
  <dcterms:created xsi:type="dcterms:W3CDTF">2016-12-02T07:26:00Z</dcterms:created>
  <dcterms:modified xsi:type="dcterms:W3CDTF">2018-01-19T06:05:00Z</dcterms:modified>
</cp:coreProperties>
</file>