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A39" w:rsidRPr="00AE1D80" w:rsidRDefault="00764A39" w:rsidP="00F23EAF">
      <w:pPr>
        <w:shd w:val="clear" w:color="auto" w:fill="FFFFFF"/>
        <w:spacing w:line="440" w:lineRule="exact"/>
        <w:jc w:val="both"/>
        <w:rPr>
          <w:rFonts w:eastAsia="標楷體"/>
          <w:b/>
          <w:color w:val="000000"/>
          <w:sz w:val="32"/>
          <w:szCs w:val="32"/>
        </w:rPr>
      </w:pPr>
      <w:r w:rsidRPr="00AE1D80">
        <w:rPr>
          <w:rFonts w:eastAsia="標楷體" w:hint="eastAsia"/>
          <w:b/>
          <w:color w:val="000000"/>
          <w:sz w:val="32"/>
          <w:szCs w:val="32"/>
        </w:rPr>
        <w:t>附註</w:t>
      </w:r>
    </w:p>
    <w:p w:rsidR="00CA36EF" w:rsidRPr="00AE1D80" w:rsidRDefault="00803A2E" w:rsidP="00B62274">
      <w:pPr>
        <w:shd w:val="clear" w:color="auto" w:fill="FFFFFF"/>
        <w:spacing w:beforeLines="50" w:before="180" w:afterLines="50" w:after="180" w:line="340" w:lineRule="exact"/>
        <w:ind w:left="480" w:hangingChars="200" w:hanging="480"/>
        <w:jc w:val="both"/>
        <w:rPr>
          <w:rFonts w:ascii="標楷體" w:eastAsia="標楷體" w:hAnsi="標楷體"/>
          <w:color w:val="000000"/>
        </w:rPr>
      </w:pPr>
      <w:r w:rsidRPr="00B62274">
        <w:rPr>
          <w:rFonts w:ascii="標楷體" w:eastAsia="標楷體" w:hAnsi="標楷體" w:hint="eastAsia"/>
          <w:color w:val="000000"/>
        </w:rPr>
        <w:t>一、</w:t>
      </w:r>
      <w:r w:rsidR="001D1597" w:rsidRPr="00AE1D80">
        <w:rPr>
          <w:rFonts w:ascii="標楷體" w:eastAsia="標楷體" w:hAnsi="標楷體" w:hint="eastAsia"/>
          <w:color w:val="000000"/>
        </w:rPr>
        <w:t>本</w:t>
      </w:r>
      <w:r w:rsidR="00764A39" w:rsidRPr="00AE1D80">
        <w:rPr>
          <w:rFonts w:ascii="標楷體" w:eastAsia="標楷體" w:hAnsi="標楷體" w:hint="eastAsia"/>
          <w:color w:val="000000"/>
        </w:rPr>
        <w:t>年度</w:t>
      </w:r>
      <w:r w:rsidR="003D0AFD" w:rsidRPr="00AE1D80">
        <w:rPr>
          <w:rFonts w:eastAsia="標楷體" w:hint="eastAsia"/>
          <w:color w:val="000000"/>
        </w:rPr>
        <w:t>合併結算</w:t>
      </w:r>
      <w:r w:rsidR="006B669F" w:rsidRPr="00AE1D80">
        <w:rPr>
          <w:rFonts w:eastAsia="標楷體" w:hint="eastAsia"/>
          <w:color w:val="000000"/>
        </w:rPr>
        <w:t>申報</w:t>
      </w:r>
      <w:r w:rsidR="00764A39" w:rsidRPr="00AE1D80">
        <w:rPr>
          <w:rFonts w:ascii="標楷體" w:eastAsia="標楷體" w:hAnsi="標楷體" w:hint="eastAsia"/>
          <w:color w:val="000000"/>
        </w:rPr>
        <w:t>證券及期貨交易所得(</w:t>
      </w:r>
      <w:r w:rsidR="00764A39" w:rsidRPr="00AE1D80">
        <w:rPr>
          <w:rFonts w:eastAsia="標楷體" w:hint="eastAsia"/>
          <w:color w:val="000000"/>
        </w:rPr>
        <w:t>02a)</w:t>
      </w:r>
      <w:r w:rsidR="00764A39" w:rsidRPr="00AE1D80">
        <w:rPr>
          <w:rFonts w:ascii="標楷體" w:eastAsia="標楷體" w:hAnsi="標楷體" w:hint="eastAsia"/>
          <w:color w:val="000000"/>
        </w:rPr>
        <w:t>欄、出售持有滿</w:t>
      </w:r>
      <w:r w:rsidR="00764A39" w:rsidRPr="00AE1D80">
        <w:rPr>
          <w:rFonts w:eastAsia="標楷體" w:hint="eastAsia"/>
          <w:color w:val="000000"/>
        </w:rPr>
        <w:t>3</w:t>
      </w:r>
      <w:r w:rsidR="00764A39" w:rsidRPr="00AE1D80">
        <w:rPr>
          <w:rFonts w:ascii="標楷體" w:eastAsia="標楷體" w:hAnsi="標楷體" w:hint="eastAsia"/>
          <w:color w:val="000000"/>
        </w:rPr>
        <w:t>年以上之股票交易所得(</w:t>
      </w:r>
      <w:r w:rsidR="00764A39" w:rsidRPr="00AE1D80">
        <w:rPr>
          <w:rFonts w:eastAsia="標楷體" w:hint="eastAsia"/>
          <w:color w:val="000000"/>
        </w:rPr>
        <w:t>02g</w:t>
      </w:r>
      <w:r w:rsidR="00764A39" w:rsidRPr="00AE1D80">
        <w:rPr>
          <w:rFonts w:ascii="標楷體" w:eastAsia="標楷體" w:hAnsi="標楷體" w:hint="eastAsia"/>
          <w:color w:val="000000"/>
        </w:rPr>
        <w:t>)欄及</w:t>
      </w:r>
      <w:r w:rsidR="00655CA1" w:rsidRPr="00AE1D80">
        <w:rPr>
          <w:rFonts w:ascii="標楷體" w:eastAsia="標楷體" w:hAnsi="標楷體" w:hint="eastAsia"/>
          <w:color w:val="000000"/>
        </w:rPr>
        <w:t>合併結算申報</w:t>
      </w:r>
      <w:r w:rsidR="00764A39" w:rsidRPr="00AE1D80">
        <w:rPr>
          <w:rFonts w:ascii="標楷體" w:eastAsia="標楷體" w:hAnsi="標楷體" w:hint="eastAsia"/>
          <w:color w:val="000000"/>
        </w:rPr>
        <w:t>國際金融</w:t>
      </w:r>
      <w:r w:rsidR="00370A07" w:rsidRPr="00AE1D80">
        <w:rPr>
          <w:rFonts w:eastAsia="標楷體" w:hint="eastAsia"/>
          <w:color w:val="000000"/>
        </w:rPr>
        <w:t>(</w:t>
      </w:r>
      <w:r w:rsidR="00370A07" w:rsidRPr="00AE1D80">
        <w:rPr>
          <w:rFonts w:eastAsia="標楷體" w:hint="eastAsia"/>
          <w:color w:val="000000"/>
        </w:rPr>
        <w:t>證券</w:t>
      </w:r>
      <w:r w:rsidR="00837996" w:rsidRPr="00AE1D80">
        <w:rPr>
          <w:rFonts w:eastAsia="標楷體" w:hint="eastAsia"/>
          <w:color w:val="000000"/>
        </w:rPr>
        <w:t>、保險</w:t>
      </w:r>
      <w:r w:rsidR="00370A07" w:rsidRPr="00AE1D80">
        <w:rPr>
          <w:rFonts w:eastAsia="標楷體" w:hint="eastAsia"/>
          <w:color w:val="000000"/>
        </w:rPr>
        <w:t>)</w:t>
      </w:r>
      <w:r w:rsidR="00370A07" w:rsidRPr="00AE1D80">
        <w:rPr>
          <w:rFonts w:eastAsia="標楷體" w:hint="eastAsia"/>
          <w:color w:val="000000"/>
        </w:rPr>
        <w:t>業務分行</w:t>
      </w:r>
      <w:r w:rsidR="00370A07" w:rsidRPr="00AE1D80">
        <w:rPr>
          <w:rFonts w:eastAsia="標楷體" w:hint="eastAsia"/>
          <w:color w:val="000000"/>
        </w:rPr>
        <w:t>(</w:t>
      </w:r>
      <w:r w:rsidR="00370A07" w:rsidRPr="00AE1D80">
        <w:rPr>
          <w:rFonts w:eastAsia="標楷體" w:hint="eastAsia"/>
          <w:color w:val="000000"/>
        </w:rPr>
        <w:t>分公司</w:t>
      </w:r>
      <w:r w:rsidR="00370A07" w:rsidRPr="00AE1D80">
        <w:rPr>
          <w:rFonts w:eastAsia="標楷體" w:hint="eastAsia"/>
          <w:color w:val="000000"/>
        </w:rPr>
        <w:t>)</w:t>
      </w:r>
      <w:r w:rsidR="00764A39" w:rsidRPr="00AE1D80">
        <w:rPr>
          <w:rFonts w:ascii="標楷體" w:eastAsia="標楷體" w:hAnsi="標楷體" w:hint="eastAsia"/>
          <w:color w:val="000000"/>
        </w:rPr>
        <w:t>免稅所得(</w:t>
      </w:r>
      <w:r w:rsidR="00764A39" w:rsidRPr="00AE1D80">
        <w:rPr>
          <w:rFonts w:eastAsia="標楷體" w:hint="eastAsia"/>
          <w:color w:val="000000"/>
        </w:rPr>
        <w:t>06a</w:t>
      </w:r>
      <w:r w:rsidR="00837996" w:rsidRPr="00AE1D80">
        <w:rPr>
          <w:rFonts w:eastAsia="標楷體" w:hint="eastAsia"/>
          <w:color w:val="000000"/>
          <w:szCs w:val="16"/>
        </w:rPr>
        <w:t>、</w:t>
      </w:r>
      <w:r w:rsidR="00837996" w:rsidRPr="00AE1D80">
        <w:rPr>
          <w:rFonts w:eastAsia="標楷體" w:hint="eastAsia"/>
          <w:color w:val="000000"/>
          <w:szCs w:val="16"/>
        </w:rPr>
        <w:t>06f</w:t>
      </w:r>
      <w:r w:rsidR="00837996" w:rsidRPr="00AE1D80">
        <w:rPr>
          <w:rFonts w:eastAsia="標楷體" w:hint="eastAsia"/>
          <w:color w:val="000000"/>
          <w:szCs w:val="16"/>
        </w:rPr>
        <w:t>及</w:t>
      </w:r>
      <w:r w:rsidR="00837996" w:rsidRPr="00AE1D80">
        <w:rPr>
          <w:rFonts w:eastAsia="標楷體" w:hint="eastAsia"/>
          <w:color w:val="000000"/>
          <w:szCs w:val="16"/>
        </w:rPr>
        <w:t>06k</w:t>
      </w:r>
      <w:r w:rsidR="00764A39" w:rsidRPr="00AE1D80">
        <w:rPr>
          <w:rFonts w:ascii="標楷體" w:eastAsia="標楷體" w:hAnsi="標楷體" w:hint="eastAsia"/>
          <w:color w:val="000000"/>
        </w:rPr>
        <w:t>)欄係指所得基本稅額條例第</w:t>
      </w:r>
      <w:r w:rsidR="00764A39" w:rsidRPr="00AE1D80">
        <w:rPr>
          <w:rFonts w:eastAsia="標楷體" w:hint="eastAsia"/>
          <w:color w:val="000000"/>
        </w:rPr>
        <w:t>7</w:t>
      </w:r>
      <w:r w:rsidR="00764A39" w:rsidRPr="00AE1D80">
        <w:rPr>
          <w:rFonts w:ascii="標楷體" w:eastAsia="標楷體" w:hAnsi="標楷體" w:hint="eastAsia"/>
          <w:color w:val="000000"/>
        </w:rPr>
        <w:t>條第</w:t>
      </w:r>
      <w:r w:rsidR="00764A39" w:rsidRPr="00AE1D80">
        <w:rPr>
          <w:rFonts w:eastAsia="標楷體" w:hint="eastAsia"/>
          <w:color w:val="000000"/>
        </w:rPr>
        <w:t>1</w:t>
      </w:r>
      <w:r w:rsidR="00764A39" w:rsidRPr="00AE1D80">
        <w:rPr>
          <w:rFonts w:ascii="標楷體" w:eastAsia="標楷體" w:hAnsi="標楷體" w:hint="eastAsia"/>
          <w:color w:val="000000"/>
        </w:rPr>
        <w:t>項各該款</w:t>
      </w:r>
      <w:r w:rsidR="00D01CE6" w:rsidRPr="00B17C5F">
        <w:rPr>
          <w:rFonts w:ascii="標楷體" w:eastAsia="標楷體" w:hAnsi="標楷體" w:hint="eastAsia"/>
          <w:b/>
          <w:color w:val="FF0000"/>
          <w:highlight w:val="yellow"/>
        </w:rPr>
        <w:t>當</w:t>
      </w:r>
      <w:bookmarkStart w:id="0" w:name="_GoBack"/>
      <w:bookmarkEnd w:id="0"/>
      <w:r w:rsidR="00764A39" w:rsidRPr="00AE1D80">
        <w:rPr>
          <w:rFonts w:ascii="標楷體" w:eastAsia="標楷體" w:hAnsi="標楷體" w:hint="eastAsia"/>
          <w:color w:val="000000"/>
        </w:rPr>
        <w:t>年度所得額</w:t>
      </w:r>
      <w:r w:rsidR="00D01CE6" w:rsidRPr="00B17C5F">
        <w:rPr>
          <w:rFonts w:ascii="標楷體" w:eastAsia="標楷體" w:hAnsi="標楷體" w:hint="eastAsia"/>
          <w:b/>
          <w:color w:val="FF0000"/>
          <w:highlight w:val="yellow"/>
        </w:rPr>
        <w:t>分別對應</w:t>
      </w:r>
      <w:r w:rsidR="00764A39" w:rsidRPr="00AE1D80">
        <w:rPr>
          <w:rFonts w:ascii="標楷體" w:eastAsia="標楷體" w:hAnsi="標楷體" w:hint="eastAsia"/>
          <w:color w:val="000000"/>
        </w:rPr>
        <w:t>減除</w:t>
      </w:r>
      <w:r w:rsidR="00D01CE6" w:rsidRPr="00B17C5F">
        <w:rPr>
          <w:rFonts w:ascii="標楷體" w:eastAsia="標楷體" w:hAnsi="標楷體" w:hint="eastAsia"/>
          <w:b/>
          <w:color w:val="FF0000"/>
          <w:highlight w:val="yellow"/>
        </w:rPr>
        <w:t>當</w:t>
      </w:r>
      <w:r w:rsidR="00764A39" w:rsidRPr="00AE1D80">
        <w:rPr>
          <w:rFonts w:ascii="標楷體" w:eastAsia="標楷體" w:hAnsi="標楷體" w:hint="eastAsia"/>
          <w:color w:val="000000"/>
        </w:rPr>
        <w:t>年度同款</w:t>
      </w:r>
      <w:r w:rsidR="00427954" w:rsidRPr="00AE1D80">
        <w:rPr>
          <w:rFonts w:ascii="標楷體" w:eastAsia="標楷體" w:hAnsi="標楷體" w:hint="eastAsia"/>
          <w:color w:val="000000"/>
        </w:rPr>
        <w:t>或同款之個別加計項目之</w:t>
      </w:r>
      <w:r w:rsidR="00764A39" w:rsidRPr="00AE1D80">
        <w:rPr>
          <w:rFonts w:ascii="標楷體" w:eastAsia="標楷體" w:hAnsi="標楷體" w:hint="eastAsia"/>
          <w:color w:val="000000"/>
        </w:rPr>
        <w:t>損失後之金額。</w:t>
      </w:r>
    </w:p>
    <w:p w:rsidR="00CA36EF" w:rsidRPr="00AE1D80" w:rsidRDefault="00B62274" w:rsidP="00CA36EF">
      <w:pPr>
        <w:shd w:val="clear" w:color="auto" w:fill="FFFFFF"/>
        <w:spacing w:afterLines="50" w:after="180" w:line="340" w:lineRule="exact"/>
        <w:ind w:left="480" w:hangingChars="200" w:hanging="480"/>
        <w:jc w:val="both"/>
        <w:rPr>
          <w:rFonts w:eastAsia="標楷體"/>
          <w:color w:val="000000"/>
        </w:rPr>
      </w:pPr>
      <w:r>
        <w:rPr>
          <w:rFonts w:ascii="標楷體" w:eastAsia="標楷體" w:hAnsi="標楷體" w:hint="eastAsia"/>
          <w:color w:val="000000"/>
        </w:rPr>
        <w:t>二</w:t>
      </w:r>
      <w:r w:rsidR="003D0AFD" w:rsidRPr="00B62274">
        <w:rPr>
          <w:rFonts w:ascii="標楷體" w:eastAsia="標楷體" w:hAnsi="標楷體" w:hint="eastAsia"/>
          <w:color w:val="000000"/>
        </w:rPr>
        <w:t>、</w:t>
      </w:r>
      <w:r w:rsidR="00CA36EF" w:rsidRPr="00AE1D80">
        <w:rPr>
          <w:rFonts w:eastAsia="標楷體" w:hint="eastAsia"/>
          <w:color w:val="000000"/>
        </w:rPr>
        <w:t>營利事業依所得基本稅額條例計算其本年度應加計之</w:t>
      </w:r>
      <w:r w:rsidR="00316DFF" w:rsidRPr="00AE1D80">
        <w:rPr>
          <w:rFonts w:eastAsia="標楷體" w:hint="eastAsia"/>
          <w:color w:val="000000"/>
        </w:rPr>
        <w:t>合併結算</w:t>
      </w:r>
      <w:r w:rsidR="006B669F" w:rsidRPr="00AE1D80">
        <w:rPr>
          <w:rFonts w:eastAsia="標楷體" w:hint="eastAsia"/>
          <w:color w:val="000000"/>
        </w:rPr>
        <w:t>申報</w:t>
      </w:r>
      <w:r w:rsidR="00CA36EF" w:rsidRPr="00AE1D80">
        <w:rPr>
          <w:rFonts w:eastAsia="標楷體" w:hint="eastAsia"/>
          <w:color w:val="000000"/>
        </w:rPr>
        <w:t>證券及期貨交易所得或</w:t>
      </w:r>
      <w:r w:rsidR="00316DFF" w:rsidRPr="00AE1D80">
        <w:rPr>
          <w:rFonts w:eastAsia="標楷體" w:hint="eastAsia"/>
          <w:color w:val="000000"/>
        </w:rPr>
        <w:t>合併結算</w:t>
      </w:r>
      <w:r w:rsidR="006B669F" w:rsidRPr="00AE1D80">
        <w:rPr>
          <w:rFonts w:eastAsia="標楷體" w:hint="eastAsia"/>
          <w:color w:val="000000"/>
        </w:rPr>
        <w:t>申報</w:t>
      </w:r>
      <w:r w:rsidR="00CA36EF" w:rsidRPr="00AE1D80">
        <w:rPr>
          <w:rFonts w:eastAsia="標楷體" w:hint="eastAsia"/>
          <w:color w:val="000000"/>
        </w:rPr>
        <w:t>國際金融</w:t>
      </w:r>
      <w:r w:rsidR="00AB2C60" w:rsidRPr="00AE1D80">
        <w:rPr>
          <w:rFonts w:eastAsia="標楷體" w:hint="eastAsia"/>
          <w:color w:val="000000"/>
        </w:rPr>
        <w:t>(</w:t>
      </w:r>
      <w:r w:rsidR="00AB2C60" w:rsidRPr="00AE1D80">
        <w:rPr>
          <w:rFonts w:eastAsia="標楷體" w:hint="eastAsia"/>
          <w:color w:val="000000"/>
        </w:rPr>
        <w:t>證券</w:t>
      </w:r>
      <w:r w:rsidR="00837996" w:rsidRPr="00AE1D80">
        <w:rPr>
          <w:rFonts w:eastAsia="標楷體" w:hint="eastAsia"/>
          <w:color w:val="000000"/>
          <w:spacing w:val="-4"/>
          <w:szCs w:val="20"/>
        </w:rPr>
        <w:t>、保險</w:t>
      </w:r>
      <w:r w:rsidR="00AB2C60" w:rsidRPr="00AE1D80">
        <w:rPr>
          <w:rFonts w:eastAsia="標楷體" w:hint="eastAsia"/>
          <w:color w:val="000000"/>
        </w:rPr>
        <w:t>)</w:t>
      </w:r>
      <w:r w:rsidR="00CA36EF" w:rsidRPr="00AE1D80">
        <w:rPr>
          <w:rFonts w:eastAsia="標楷體" w:hint="eastAsia"/>
          <w:color w:val="000000"/>
        </w:rPr>
        <w:t>業務分行</w:t>
      </w:r>
      <w:r w:rsidR="00AB2C60" w:rsidRPr="00AE1D80">
        <w:rPr>
          <w:rFonts w:eastAsia="標楷體" w:hint="eastAsia"/>
          <w:color w:val="000000"/>
        </w:rPr>
        <w:t>(</w:t>
      </w:r>
      <w:r w:rsidR="00AB2C60" w:rsidRPr="00AE1D80">
        <w:rPr>
          <w:rFonts w:eastAsia="標楷體" w:hint="eastAsia"/>
          <w:color w:val="000000"/>
        </w:rPr>
        <w:t>分公司</w:t>
      </w:r>
      <w:r w:rsidR="00AB2C60" w:rsidRPr="00AE1D80">
        <w:rPr>
          <w:rFonts w:eastAsia="標楷體" w:hint="eastAsia"/>
          <w:color w:val="000000"/>
        </w:rPr>
        <w:t>)</w:t>
      </w:r>
      <w:r w:rsidR="00CA36EF" w:rsidRPr="00AE1D80">
        <w:rPr>
          <w:rFonts w:eastAsia="標楷體" w:hint="eastAsia"/>
          <w:color w:val="000000"/>
        </w:rPr>
        <w:t>免稅所得時，如有經稽徵機關核定之前</w:t>
      </w:r>
      <w:r w:rsidR="00CA36EF" w:rsidRPr="00AE1D80">
        <w:rPr>
          <w:rFonts w:eastAsia="標楷體" w:hint="eastAsia"/>
          <w:color w:val="000000"/>
        </w:rPr>
        <w:t>5</w:t>
      </w:r>
      <w:r w:rsidR="00CA36EF" w:rsidRPr="00AE1D80">
        <w:rPr>
          <w:rFonts w:eastAsia="標楷體" w:hint="eastAsia"/>
          <w:color w:val="000000"/>
        </w:rPr>
        <w:t>年</w:t>
      </w:r>
      <w:r w:rsidR="003D0AFD" w:rsidRPr="00AE1D80">
        <w:rPr>
          <w:rFonts w:eastAsia="標楷體" w:hint="eastAsia"/>
          <w:color w:val="000000"/>
        </w:rPr>
        <w:t>合</w:t>
      </w:r>
      <w:r w:rsidR="00DB582D" w:rsidRPr="00AE1D80">
        <w:rPr>
          <w:rFonts w:eastAsia="標楷體" w:hint="eastAsia"/>
          <w:color w:val="000000"/>
        </w:rPr>
        <w:t>計</w:t>
      </w:r>
      <w:r w:rsidR="00CA36EF" w:rsidRPr="00AE1D80">
        <w:rPr>
          <w:rFonts w:eastAsia="標楷體" w:hint="eastAsia"/>
          <w:color w:val="000000"/>
        </w:rPr>
        <w:t>證券及期貨交易淨損失</w:t>
      </w:r>
      <w:r w:rsidR="00CA36EF" w:rsidRPr="00AE1D80">
        <w:rPr>
          <w:rFonts w:eastAsia="標楷體" w:hint="eastAsia"/>
          <w:color w:val="000000"/>
        </w:rPr>
        <w:t>(02b)</w:t>
      </w:r>
      <w:r w:rsidR="00CA36EF" w:rsidRPr="00AE1D80">
        <w:rPr>
          <w:rFonts w:eastAsia="標楷體" w:hint="eastAsia"/>
          <w:color w:val="000000"/>
        </w:rPr>
        <w:t>欄或前</w:t>
      </w:r>
      <w:r w:rsidR="00CA36EF" w:rsidRPr="00AE1D80">
        <w:rPr>
          <w:rFonts w:eastAsia="標楷體" w:hint="eastAsia"/>
          <w:color w:val="000000"/>
        </w:rPr>
        <w:t>5</w:t>
      </w:r>
      <w:r w:rsidR="00CA36EF" w:rsidRPr="00AE1D80">
        <w:rPr>
          <w:rFonts w:eastAsia="標楷體" w:hint="eastAsia"/>
          <w:color w:val="000000"/>
        </w:rPr>
        <w:t>年</w:t>
      </w:r>
      <w:r w:rsidR="003D0AFD" w:rsidRPr="00AE1D80">
        <w:rPr>
          <w:rFonts w:eastAsia="標楷體" w:hint="eastAsia"/>
          <w:color w:val="000000"/>
        </w:rPr>
        <w:t>合</w:t>
      </w:r>
      <w:r w:rsidR="00DB582D" w:rsidRPr="00AE1D80">
        <w:rPr>
          <w:rFonts w:eastAsia="標楷體" w:hint="eastAsia"/>
          <w:color w:val="000000"/>
        </w:rPr>
        <w:t>計</w:t>
      </w:r>
      <w:r w:rsidR="00CA36EF" w:rsidRPr="00AE1D80">
        <w:rPr>
          <w:rFonts w:eastAsia="標楷體" w:hint="eastAsia"/>
          <w:color w:val="000000"/>
        </w:rPr>
        <w:t>國際金融</w:t>
      </w:r>
      <w:r w:rsidR="00D01CE6" w:rsidRPr="00B17C5F">
        <w:rPr>
          <w:rFonts w:eastAsia="標楷體" w:hint="eastAsia"/>
          <w:b/>
          <w:color w:val="FF0000"/>
          <w:highlight w:val="yellow"/>
        </w:rPr>
        <w:t>(</w:t>
      </w:r>
      <w:r w:rsidR="00D01CE6" w:rsidRPr="00B17C5F">
        <w:rPr>
          <w:rFonts w:eastAsia="標楷體" w:hint="eastAsia"/>
          <w:b/>
          <w:color w:val="FF0000"/>
          <w:highlight w:val="yellow"/>
        </w:rPr>
        <w:t>證券</w:t>
      </w:r>
      <w:r w:rsidR="00D01CE6" w:rsidRPr="00B17C5F">
        <w:rPr>
          <w:rFonts w:eastAsia="標楷體" w:hint="eastAsia"/>
          <w:b/>
          <w:color w:val="FF0000"/>
          <w:spacing w:val="-4"/>
          <w:szCs w:val="20"/>
          <w:highlight w:val="yellow"/>
        </w:rPr>
        <w:t>、保險</w:t>
      </w:r>
      <w:r w:rsidR="00D01CE6" w:rsidRPr="00B17C5F">
        <w:rPr>
          <w:rFonts w:eastAsia="標楷體" w:hint="eastAsia"/>
          <w:b/>
          <w:color w:val="FF0000"/>
          <w:highlight w:val="yellow"/>
        </w:rPr>
        <w:t>)</w:t>
      </w:r>
      <w:r w:rsidR="00CA36EF" w:rsidRPr="00AE1D80">
        <w:rPr>
          <w:rFonts w:eastAsia="標楷體" w:hint="eastAsia"/>
          <w:color w:val="000000"/>
        </w:rPr>
        <w:t>業務分行</w:t>
      </w:r>
      <w:r w:rsidR="00D01CE6" w:rsidRPr="00B17C5F">
        <w:rPr>
          <w:rFonts w:eastAsia="標楷體" w:hint="eastAsia"/>
          <w:b/>
          <w:color w:val="FF0000"/>
          <w:highlight w:val="yellow"/>
        </w:rPr>
        <w:t>(</w:t>
      </w:r>
      <w:r w:rsidR="00D01CE6" w:rsidRPr="00B17C5F">
        <w:rPr>
          <w:rFonts w:eastAsia="標楷體" w:hint="eastAsia"/>
          <w:b/>
          <w:color w:val="FF0000"/>
          <w:highlight w:val="yellow"/>
        </w:rPr>
        <w:t>分公司</w:t>
      </w:r>
      <w:r w:rsidR="00D01CE6" w:rsidRPr="00B17C5F">
        <w:rPr>
          <w:rFonts w:eastAsia="標楷體" w:hint="eastAsia"/>
          <w:b/>
          <w:color w:val="FF0000"/>
          <w:highlight w:val="yellow"/>
        </w:rPr>
        <w:t>)</w:t>
      </w:r>
      <w:r w:rsidR="00CA36EF" w:rsidRPr="00AE1D80">
        <w:rPr>
          <w:rFonts w:eastAsia="標楷體" w:hint="eastAsia"/>
          <w:color w:val="000000"/>
        </w:rPr>
        <w:t>淨損失</w:t>
      </w:r>
      <w:r w:rsidR="00CA36EF" w:rsidRPr="00AE1D80">
        <w:rPr>
          <w:rFonts w:eastAsia="標楷體" w:hint="eastAsia"/>
          <w:color w:val="000000"/>
        </w:rPr>
        <w:t>(06b</w:t>
      </w:r>
      <w:r w:rsidR="00837996" w:rsidRPr="00AE1D80">
        <w:rPr>
          <w:rFonts w:eastAsia="標楷體" w:hint="eastAsia"/>
          <w:color w:val="000000"/>
        </w:rPr>
        <w:t>、</w:t>
      </w:r>
      <w:r w:rsidR="00837996" w:rsidRPr="00AE1D80">
        <w:rPr>
          <w:rFonts w:eastAsia="標楷體" w:hint="eastAsia"/>
          <w:color w:val="000000"/>
        </w:rPr>
        <w:t>06g</w:t>
      </w:r>
      <w:r w:rsidR="00837996" w:rsidRPr="00AE1D80">
        <w:rPr>
          <w:rFonts w:eastAsia="標楷體" w:hint="eastAsia"/>
          <w:color w:val="000000"/>
        </w:rPr>
        <w:t>及</w:t>
      </w:r>
      <w:r w:rsidR="00837996" w:rsidRPr="00AE1D80">
        <w:rPr>
          <w:rFonts w:eastAsia="標楷體" w:hint="eastAsia"/>
          <w:color w:val="000000"/>
        </w:rPr>
        <w:t>06l</w:t>
      </w:r>
      <w:r w:rsidR="00CA36EF" w:rsidRPr="00AE1D80">
        <w:rPr>
          <w:rFonts w:eastAsia="標楷體" w:hint="eastAsia"/>
          <w:color w:val="000000"/>
        </w:rPr>
        <w:t>)</w:t>
      </w:r>
      <w:r w:rsidR="00CA36EF" w:rsidRPr="00AE1D80">
        <w:rPr>
          <w:rFonts w:eastAsia="標楷體" w:hint="eastAsia"/>
          <w:color w:val="000000"/>
        </w:rPr>
        <w:t>欄之金額，應按損失發生年度順序，逐年依序</w:t>
      </w:r>
      <w:r w:rsidR="00D01CE6" w:rsidRPr="00B17C5F">
        <w:rPr>
          <w:rFonts w:eastAsia="標楷體" w:hint="eastAsia"/>
          <w:b/>
          <w:color w:val="FF0000"/>
          <w:highlight w:val="yellow"/>
        </w:rPr>
        <w:t>分別對應</w:t>
      </w:r>
      <w:r w:rsidR="00CA36EF" w:rsidRPr="00AE1D80">
        <w:rPr>
          <w:rFonts w:eastAsia="標楷體" w:hint="eastAsia"/>
          <w:color w:val="000000"/>
        </w:rPr>
        <w:t>自</w:t>
      </w:r>
      <w:r w:rsidR="00D974ED" w:rsidRPr="00AE1D80">
        <w:rPr>
          <w:rFonts w:eastAsia="標楷體" w:hint="eastAsia"/>
          <w:color w:val="000000"/>
        </w:rPr>
        <w:t>同款</w:t>
      </w:r>
      <w:r w:rsidR="00427954" w:rsidRPr="00AE1D80">
        <w:rPr>
          <w:rFonts w:eastAsia="標楷體" w:hint="eastAsia"/>
          <w:color w:val="000000"/>
        </w:rPr>
        <w:t>或同款之個別加計項目</w:t>
      </w:r>
      <w:r w:rsidR="00D01CE6" w:rsidRPr="00B17C5F">
        <w:rPr>
          <w:rFonts w:eastAsia="標楷體" w:hint="eastAsia"/>
          <w:b/>
          <w:color w:val="FF0000"/>
          <w:highlight w:val="yellow"/>
        </w:rPr>
        <w:t>之</w:t>
      </w:r>
      <w:r w:rsidR="00CA36EF" w:rsidRPr="00AE1D80">
        <w:rPr>
          <w:rFonts w:eastAsia="標楷體" w:hint="eastAsia"/>
          <w:color w:val="000000"/>
        </w:rPr>
        <w:t>所得</w:t>
      </w:r>
      <w:r w:rsidR="00D974ED" w:rsidRPr="00AE1D80">
        <w:rPr>
          <w:rFonts w:eastAsia="標楷體" w:hint="eastAsia"/>
          <w:color w:val="000000"/>
        </w:rPr>
        <w:t>額中減除，</w:t>
      </w:r>
      <w:r w:rsidR="00D01CE6" w:rsidRPr="00B17C5F">
        <w:rPr>
          <w:rFonts w:eastAsia="標楷體" w:hint="eastAsia"/>
          <w:b/>
          <w:color w:val="FF0000"/>
          <w:highlight w:val="yellow"/>
        </w:rPr>
        <w:t>當</w:t>
      </w:r>
      <w:r w:rsidR="00D974ED" w:rsidRPr="00AE1D80">
        <w:rPr>
          <w:rFonts w:eastAsia="標楷體" w:hint="eastAsia"/>
          <w:color w:val="000000"/>
        </w:rPr>
        <w:t>年度</w:t>
      </w:r>
      <w:r w:rsidR="00D01CE6" w:rsidRPr="00B17C5F">
        <w:rPr>
          <w:rFonts w:eastAsia="標楷體" w:hint="eastAsia"/>
          <w:b/>
          <w:color w:val="FF0000"/>
          <w:highlight w:val="yellow"/>
        </w:rPr>
        <w:t>無前述所得額可供減除或</w:t>
      </w:r>
      <w:r w:rsidR="00D974ED" w:rsidRPr="00AE1D80">
        <w:rPr>
          <w:rFonts w:eastAsia="標楷體" w:hint="eastAsia"/>
          <w:color w:val="000000"/>
        </w:rPr>
        <w:t>減除後尚有未減除餘額時，始得遞延至以後年度減</w:t>
      </w:r>
      <w:r w:rsidR="00CA36EF" w:rsidRPr="00AE1D80">
        <w:rPr>
          <w:rFonts w:eastAsia="標楷體" w:hint="eastAsia"/>
          <w:color w:val="000000"/>
        </w:rPr>
        <w:t>除。</w:t>
      </w:r>
    </w:p>
    <w:p w:rsidR="00E64530" w:rsidRPr="00AE1D80" w:rsidRDefault="00B62274" w:rsidP="00CA36EF">
      <w:pPr>
        <w:shd w:val="clear" w:color="auto" w:fill="FFFFFF"/>
        <w:spacing w:afterLines="50" w:after="180" w:line="340" w:lineRule="exact"/>
        <w:ind w:left="480" w:hangingChars="200" w:hanging="480"/>
        <w:jc w:val="both"/>
        <w:rPr>
          <w:rFonts w:ascii="標楷體" w:eastAsia="標楷體" w:hAnsi="標楷體"/>
          <w:color w:val="000000"/>
        </w:rPr>
      </w:pPr>
      <w:r>
        <w:rPr>
          <w:rFonts w:ascii="標楷體" w:eastAsia="標楷體" w:hAnsi="標楷體" w:hint="eastAsia"/>
          <w:color w:val="000000"/>
        </w:rPr>
        <w:t>三</w:t>
      </w:r>
      <w:r w:rsidR="003D0AFD" w:rsidRPr="00B62274">
        <w:rPr>
          <w:rFonts w:ascii="標楷體" w:eastAsia="標楷體" w:hAnsi="標楷體" w:hint="eastAsia"/>
          <w:color w:val="000000"/>
        </w:rPr>
        <w:t>、</w:t>
      </w:r>
      <w:r w:rsidR="00D974ED" w:rsidRPr="00AE1D80">
        <w:rPr>
          <w:rFonts w:ascii="標楷體" w:eastAsia="標楷體" w:hAnsi="標楷體" w:hint="eastAsia"/>
          <w:color w:val="000000"/>
        </w:rPr>
        <w:t>依</w:t>
      </w:r>
      <w:r w:rsidR="00036BCC" w:rsidRPr="00AE1D80">
        <w:rPr>
          <w:rFonts w:ascii="標楷體" w:eastAsia="標楷體" w:hAnsi="標楷體" w:hint="eastAsia"/>
          <w:color w:val="000000"/>
        </w:rPr>
        <w:t>所得基本稅額條例第</w:t>
      </w:r>
      <w:r w:rsidR="00036BCC" w:rsidRPr="00AE1D80">
        <w:rPr>
          <w:rFonts w:eastAsia="標楷體" w:hint="eastAsia"/>
          <w:color w:val="000000"/>
        </w:rPr>
        <w:t>7</w:t>
      </w:r>
      <w:r w:rsidR="00036BCC" w:rsidRPr="00AE1D80">
        <w:rPr>
          <w:rFonts w:ascii="標楷體" w:eastAsia="標楷體" w:hAnsi="標楷體" w:hint="eastAsia"/>
          <w:color w:val="000000"/>
        </w:rPr>
        <w:t>條第</w:t>
      </w:r>
      <w:r w:rsidR="00036BCC" w:rsidRPr="00AE1D80">
        <w:rPr>
          <w:rFonts w:eastAsia="標楷體" w:hint="eastAsia"/>
          <w:color w:val="000000"/>
        </w:rPr>
        <w:t>3</w:t>
      </w:r>
      <w:r w:rsidR="00036BCC" w:rsidRPr="00AE1D80">
        <w:rPr>
          <w:rFonts w:ascii="標楷體" w:eastAsia="標楷體" w:hAnsi="標楷體" w:hint="eastAsia"/>
          <w:color w:val="000000"/>
        </w:rPr>
        <w:t>項規</w:t>
      </w:r>
      <w:r w:rsidR="00D974ED" w:rsidRPr="00AE1D80">
        <w:rPr>
          <w:rFonts w:ascii="標楷體" w:eastAsia="標楷體" w:hAnsi="標楷體" w:hint="eastAsia"/>
          <w:color w:val="000000"/>
        </w:rPr>
        <w:t>定</w:t>
      </w:r>
      <w:r w:rsidR="00571508" w:rsidRPr="00AE1D80">
        <w:rPr>
          <w:rFonts w:ascii="標楷體" w:eastAsia="標楷體" w:hAnsi="標楷體" w:hint="eastAsia"/>
          <w:color w:val="000000"/>
        </w:rPr>
        <w:t>出售持有滿</w:t>
      </w:r>
      <w:r w:rsidR="00571508" w:rsidRPr="00AE1D80">
        <w:rPr>
          <w:rFonts w:eastAsia="標楷體" w:hint="eastAsia"/>
          <w:color w:val="000000"/>
        </w:rPr>
        <w:t>3</w:t>
      </w:r>
      <w:r w:rsidR="00571508" w:rsidRPr="00AE1D80">
        <w:rPr>
          <w:rFonts w:ascii="標楷體" w:eastAsia="標楷體" w:hAnsi="標楷體" w:hint="eastAsia"/>
          <w:color w:val="000000"/>
        </w:rPr>
        <w:t>年以上股票</w:t>
      </w:r>
      <w:r w:rsidR="00E64530" w:rsidRPr="00AE1D80">
        <w:rPr>
          <w:rFonts w:ascii="標楷體" w:eastAsia="標楷體" w:hAnsi="標楷體" w:hint="eastAsia"/>
          <w:color w:val="000000"/>
        </w:rPr>
        <w:t>持有期間</w:t>
      </w:r>
      <w:r w:rsidR="00D974ED" w:rsidRPr="00AE1D80">
        <w:rPr>
          <w:rFonts w:ascii="標楷體" w:eastAsia="標楷體" w:hAnsi="標楷體" w:hint="eastAsia"/>
          <w:color w:val="000000"/>
        </w:rPr>
        <w:t>之</w:t>
      </w:r>
      <w:r w:rsidR="00E64530" w:rsidRPr="00AE1D80">
        <w:rPr>
          <w:rFonts w:ascii="標楷體" w:eastAsia="標楷體" w:hAnsi="標楷體" w:hint="eastAsia"/>
          <w:color w:val="000000"/>
        </w:rPr>
        <w:t>計算，應採用先進先出法</w:t>
      </w:r>
      <w:r w:rsidR="00036BCC" w:rsidRPr="00AE1D80">
        <w:rPr>
          <w:rFonts w:ascii="標楷體" w:eastAsia="標楷體" w:hAnsi="標楷體" w:hint="eastAsia"/>
          <w:color w:val="000000"/>
        </w:rPr>
        <w:t>。</w:t>
      </w:r>
      <w:r w:rsidR="00D974ED" w:rsidRPr="00AE1D80">
        <w:rPr>
          <w:rFonts w:ascii="標楷體" w:eastAsia="標楷體" w:hAnsi="標楷體" w:hint="eastAsia"/>
          <w:color w:val="000000"/>
        </w:rPr>
        <w:t>其</w:t>
      </w:r>
      <w:r w:rsidR="00E64530" w:rsidRPr="00AE1D80">
        <w:rPr>
          <w:rFonts w:ascii="標楷體" w:eastAsia="標楷體" w:hAnsi="標楷體" w:hint="eastAsia"/>
          <w:color w:val="000000"/>
        </w:rPr>
        <w:t>交易成本之估價，應</w:t>
      </w:r>
      <w:r w:rsidR="00036BCC" w:rsidRPr="00AE1D80">
        <w:rPr>
          <w:rFonts w:ascii="標楷體" w:eastAsia="標楷體" w:hAnsi="標楷體" w:hint="eastAsia"/>
          <w:color w:val="000000"/>
        </w:rPr>
        <w:t>與其依所得稅法第44條、第48條及同法施行細則第46條規定擇採之計算方法一致</w:t>
      </w:r>
      <w:r w:rsidR="00E64530" w:rsidRPr="00AE1D80">
        <w:rPr>
          <w:rFonts w:ascii="標楷體" w:eastAsia="標楷體" w:hAnsi="標楷體" w:hint="eastAsia"/>
          <w:color w:val="000000"/>
        </w:rPr>
        <w:t>。</w:t>
      </w:r>
    </w:p>
    <w:p w:rsidR="00764A39" w:rsidRPr="00AE1D80" w:rsidRDefault="00B62274" w:rsidP="00CA36EF">
      <w:pPr>
        <w:shd w:val="clear" w:color="auto" w:fill="FFFFFF"/>
        <w:spacing w:afterLines="50" w:after="180" w:line="340" w:lineRule="exact"/>
        <w:ind w:left="480" w:hangingChars="200" w:hanging="480"/>
        <w:jc w:val="both"/>
        <w:rPr>
          <w:rFonts w:eastAsia="標楷體"/>
          <w:color w:val="000000"/>
        </w:rPr>
      </w:pPr>
      <w:r>
        <w:rPr>
          <w:rFonts w:ascii="標楷體" w:eastAsia="標楷體" w:hAnsi="標楷體" w:hint="eastAsia"/>
          <w:color w:val="000000"/>
        </w:rPr>
        <w:t>四</w:t>
      </w:r>
      <w:r w:rsidR="003D0AFD" w:rsidRPr="00AE1D80">
        <w:rPr>
          <w:rFonts w:ascii="標楷體" w:eastAsia="標楷體" w:hAnsi="標楷體" w:hint="eastAsia"/>
          <w:color w:val="000000"/>
        </w:rPr>
        <w:t>、</w:t>
      </w:r>
      <w:r w:rsidR="00764A39" w:rsidRPr="00AE1D80">
        <w:rPr>
          <w:rFonts w:eastAsia="標楷體" w:hint="eastAsia"/>
          <w:color w:val="000000"/>
        </w:rPr>
        <w:t>依所得基本稅額條例第</w:t>
      </w:r>
      <w:r w:rsidR="00764A39" w:rsidRPr="00AE1D80">
        <w:rPr>
          <w:rFonts w:eastAsia="標楷體" w:hint="eastAsia"/>
          <w:color w:val="000000"/>
        </w:rPr>
        <w:t>16</w:t>
      </w:r>
      <w:r w:rsidR="00764A39" w:rsidRPr="00AE1D80">
        <w:rPr>
          <w:rFonts w:eastAsia="標楷體" w:hint="eastAsia"/>
          <w:color w:val="000000"/>
        </w:rPr>
        <w:t>條規定得免予計入之免稅所得條件：</w:t>
      </w:r>
      <w:r w:rsidR="00764A39" w:rsidRPr="00AE1D80">
        <w:rPr>
          <w:rFonts w:eastAsia="標楷體" w:hint="eastAsia"/>
          <w:color w:val="000000"/>
        </w:rPr>
        <w:t>1.</w:t>
      </w:r>
      <w:r w:rsidR="00764A39" w:rsidRPr="00AE1D80">
        <w:rPr>
          <w:rFonts w:eastAsia="標楷體" w:hint="eastAsia"/>
          <w:color w:val="000000"/>
        </w:rPr>
        <w:t>本條例施行前已由財政部核准免稅。</w:t>
      </w:r>
      <w:r w:rsidR="00764A39" w:rsidRPr="00AE1D80">
        <w:rPr>
          <w:rFonts w:eastAsia="標楷體" w:hint="eastAsia"/>
          <w:color w:val="000000"/>
        </w:rPr>
        <w:t>2.</w:t>
      </w:r>
      <w:r w:rsidR="00764A39" w:rsidRPr="00AE1D80">
        <w:rPr>
          <w:rFonts w:eastAsia="標楷體" w:hint="eastAsia"/>
          <w:color w:val="000000"/>
        </w:rPr>
        <w:t>本條例施行前已取得中央目的事業主管機關核發完成證明函或已完成投資計畫，並於本條例施行之日起</w:t>
      </w:r>
      <w:r w:rsidR="00764A39" w:rsidRPr="00AE1D80">
        <w:rPr>
          <w:rFonts w:eastAsia="標楷體" w:hint="eastAsia"/>
          <w:color w:val="000000"/>
        </w:rPr>
        <w:t>1</w:t>
      </w:r>
      <w:r w:rsidR="00764A39" w:rsidRPr="00AE1D80">
        <w:rPr>
          <w:rFonts w:eastAsia="標楷體" w:hint="eastAsia"/>
          <w:color w:val="000000"/>
        </w:rPr>
        <w:t>年內經財政部核准免稅。</w:t>
      </w:r>
      <w:r w:rsidR="00764A39" w:rsidRPr="00AE1D80">
        <w:rPr>
          <w:rFonts w:eastAsia="標楷體" w:hint="eastAsia"/>
          <w:color w:val="000000"/>
        </w:rPr>
        <w:t>3.</w:t>
      </w:r>
      <w:r w:rsidR="00764A39" w:rsidRPr="00AE1D80">
        <w:rPr>
          <w:rFonts w:eastAsia="標楷體" w:hint="eastAsia"/>
          <w:color w:val="000000"/>
        </w:rPr>
        <w:t>本條例施行前已取得中央目的事業主管機關核發之投資計畫核准函，並已開工，且未變更投資計畫之產品或服務項目。</w:t>
      </w:r>
      <w:r w:rsidR="00764A39" w:rsidRPr="00AE1D80">
        <w:rPr>
          <w:rFonts w:eastAsia="標楷體" w:hint="eastAsia"/>
          <w:color w:val="000000"/>
        </w:rPr>
        <w:t>4.</w:t>
      </w:r>
      <w:r w:rsidR="00764A39" w:rsidRPr="00AE1D80">
        <w:rPr>
          <w:rFonts w:eastAsia="標楷體" w:hint="eastAsia"/>
          <w:color w:val="000000"/>
        </w:rPr>
        <w:t>本條例施行前已取得中央目的事業主管機關核發之投資計畫核准函，尚未開工，而於本條例施行之日起</w:t>
      </w:r>
      <w:r w:rsidR="00764A39" w:rsidRPr="00AE1D80">
        <w:rPr>
          <w:rFonts w:eastAsia="標楷體" w:hint="eastAsia"/>
          <w:color w:val="000000"/>
        </w:rPr>
        <w:t>1</w:t>
      </w:r>
      <w:r w:rsidR="00764A39" w:rsidRPr="00AE1D80">
        <w:rPr>
          <w:rFonts w:eastAsia="標楷體" w:hint="eastAsia"/>
          <w:color w:val="000000"/>
        </w:rPr>
        <w:t>年內開工，並於核准函核發之次日起</w:t>
      </w:r>
      <w:r w:rsidR="00764A39" w:rsidRPr="00AE1D80">
        <w:rPr>
          <w:rFonts w:eastAsia="標楷體" w:hint="eastAsia"/>
          <w:color w:val="000000"/>
        </w:rPr>
        <w:t>3</w:t>
      </w:r>
      <w:r w:rsidR="00764A39" w:rsidRPr="00AE1D80">
        <w:rPr>
          <w:rFonts w:eastAsia="標楷體" w:hint="eastAsia"/>
          <w:color w:val="000000"/>
        </w:rPr>
        <w:t>年內完成投資計畫，且未變更投資計畫之產品或服務項目。</w:t>
      </w:r>
      <w:r w:rsidR="00764A39" w:rsidRPr="00AE1D80">
        <w:rPr>
          <w:rFonts w:eastAsia="標楷體" w:hint="eastAsia"/>
          <w:color w:val="000000"/>
        </w:rPr>
        <w:t>5.</w:t>
      </w:r>
      <w:r w:rsidR="00764A39" w:rsidRPr="00AE1D80">
        <w:rPr>
          <w:rFonts w:eastAsia="標楷體" w:hint="eastAsia"/>
          <w:color w:val="000000"/>
        </w:rPr>
        <w:t>本條例施行前民間機構業與主辦機關簽訂公共建設投資契約，並於投資契約約定日期內開工及完工，且未變更投資計畫內容者。但依主辦機關要求變更投資計畫內容者，不在此限。</w:t>
      </w:r>
    </w:p>
    <w:p w:rsidR="000D373F" w:rsidRPr="00AE1D80" w:rsidRDefault="00B62274" w:rsidP="000D373F">
      <w:pPr>
        <w:shd w:val="clear" w:color="auto" w:fill="FFFFFF"/>
        <w:spacing w:beforeLines="50" w:before="180" w:line="340" w:lineRule="exact"/>
        <w:ind w:left="480" w:hangingChars="200" w:hanging="480"/>
        <w:jc w:val="both"/>
        <w:rPr>
          <w:rFonts w:eastAsia="標楷體"/>
          <w:color w:val="000000"/>
        </w:rPr>
      </w:pPr>
      <w:r>
        <w:rPr>
          <w:rFonts w:ascii="標楷體" w:eastAsia="標楷體" w:hAnsi="標楷體" w:hint="eastAsia"/>
          <w:color w:val="000000"/>
        </w:rPr>
        <w:t>五</w:t>
      </w:r>
      <w:r w:rsidR="000D373F" w:rsidRPr="00AE1D80">
        <w:rPr>
          <w:rFonts w:ascii="標楷體" w:eastAsia="標楷體" w:hAnsi="標楷體" w:hint="eastAsia"/>
          <w:color w:val="000000"/>
        </w:rPr>
        <w:t>、</w:t>
      </w:r>
      <w:r w:rsidR="000D373F" w:rsidRPr="00AE1D80">
        <w:rPr>
          <w:rFonts w:eastAsia="標楷體" w:hint="eastAsia"/>
          <w:color w:val="000000"/>
        </w:rPr>
        <w:t>其他經財政部公告之減免所得額及不計入所得之項目如下，應計入營利事業之基本所得額：</w:t>
      </w:r>
    </w:p>
    <w:p w:rsidR="000D373F" w:rsidRPr="00AE1D80" w:rsidRDefault="000D373F" w:rsidP="000D373F">
      <w:pPr>
        <w:shd w:val="clear" w:color="auto" w:fill="FFFFFF"/>
        <w:spacing w:before="50" w:line="340" w:lineRule="exact"/>
        <w:ind w:left="480" w:hangingChars="200" w:hanging="480"/>
        <w:jc w:val="both"/>
        <w:rPr>
          <w:rFonts w:ascii="標楷體" w:eastAsia="標楷體" w:hAnsi="標楷體"/>
          <w:color w:val="000000"/>
        </w:rPr>
      </w:pPr>
      <w:r w:rsidRPr="00AE1D80">
        <w:rPr>
          <w:rFonts w:ascii="標楷體" w:eastAsia="標楷體" w:hAnsi="標楷體" w:hint="eastAsia"/>
          <w:color w:val="000000"/>
        </w:rPr>
        <w:t xml:space="preserve">    (一)依中小企業發展條例第36條之2第1項至第3項規定，增僱本國籍員工與調高本國籍基層員工薪資之薪資費用加成減除金額。</w:t>
      </w:r>
    </w:p>
    <w:p w:rsidR="000D373F" w:rsidRPr="00AE1D80" w:rsidRDefault="000D373F" w:rsidP="000D373F">
      <w:pPr>
        <w:shd w:val="clear" w:color="auto" w:fill="FFFFFF"/>
        <w:spacing w:before="50" w:line="340" w:lineRule="exact"/>
        <w:ind w:left="480" w:hangingChars="200" w:hanging="480"/>
        <w:jc w:val="both"/>
        <w:rPr>
          <w:rFonts w:ascii="標楷體" w:eastAsia="標楷體" w:hAnsi="標楷體"/>
          <w:color w:val="000000"/>
        </w:rPr>
      </w:pPr>
      <w:r w:rsidRPr="00AE1D80">
        <w:rPr>
          <w:rFonts w:ascii="標楷體" w:eastAsia="標楷體" w:hAnsi="標楷體" w:hint="eastAsia"/>
          <w:color w:val="000000"/>
        </w:rPr>
        <w:t xml:space="preserve">    (二)依產業創新條例第12條之1第1項規定智慧財產權</w:t>
      </w:r>
      <w:r w:rsidR="00B5206D" w:rsidRPr="00AE1D80">
        <w:rPr>
          <w:rFonts w:ascii="標楷體" w:eastAsia="標楷體" w:hAnsi="標楷體" w:hint="eastAsia"/>
          <w:color w:val="000000"/>
        </w:rPr>
        <w:t>讓與或授權收益範圍內之</w:t>
      </w:r>
      <w:r w:rsidRPr="00AE1D80">
        <w:rPr>
          <w:rFonts w:ascii="標楷體" w:eastAsia="標楷體" w:hAnsi="標楷體" w:hint="eastAsia"/>
          <w:color w:val="000000"/>
        </w:rPr>
        <w:t>研究發展支出加倍減除金額。</w:t>
      </w:r>
    </w:p>
    <w:p w:rsidR="00427954" w:rsidRPr="00AE1D80" w:rsidRDefault="00B62274" w:rsidP="000D373F">
      <w:pPr>
        <w:shd w:val="clear" w:color="auto" w:fill="FFFFFF"/>
        <w:spacing w:before="50" w:line="340" w:lineRule="exact"/>
        <w:ind w:left="480" w:hangingChars="200" w:hanging="480"/>
        <w:jc w:val="both"/>
        <w:rPr>
          <w:rFonts w:ascii="標楷體" w:eastAsia="標楷體" w:hAnsi="標楷體"/>
          <w:color w:val="000000"/>
        </w:rPr>
      </w:pPr>
      <w:r>
        <w:rPr>
          <w:rFonts w:ascii="標楷體" w:eastAsia="標楷體" w:hAnsi="標楷體" w:hint="eastAsia"/>
          <w:color w:val="000000"/>
        </w:rPr>
        <w:t>六</w:t>
      </w:r>
      <w:r w:rsidR="00B5206D" w:rsidRPr="00AE1D80">
        <w:rPr>
          <w:rFonts w:ascii="標楷體" w:eastAsia="標楷體" w:hAnsi="標楷體" w:hint="eastAsia"/>
          <w:color w:val="000000"/>
        </w:rPr>
        <w:t>、課稅所得額以外之加計項目，屬來自中華民國境外之所得者，其已依所得來源國稅法規定繳納之所得稅，得自基本稅額與一般所得稅額之差額中扣抵，惟應檢附所得稅法第3條第2項規定之所得來源國稅務機關發給之同一年度納稅憑證。</w:t>
      </w: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F23EAF" w:rsidRPr="00AE1D80" w:rsidRDefault="00F23EAF" w:rsidP="00F23EAF">
      <w:pPr>
        <w:spacing w:before="50" w:line="340" w:lineRule="exact"/>
        <w:rPr>
          <w:rFonts w:eastAsia="標楷體"/>
          <w:color w:val="000000"/>
        </w:rPr>
      </w:pPr>
    </w:p>
    <w:p w:rsidR="00904B7B" w:rsidRPr="00AE1D80" w:rsidRDefault="00904B7B" w:rsidP="00F23EAF">
      <w:pPr>
        <w:spacing w:before="50" w:line="340" w:lineRule="exact"/>
        <w:rPr>
          <w:rFonts w:eastAsia="標楷體"/>
          <w:color w:val="000000"/>
        </w:rPr>
      </w:pPr>
    </w:p>
    <w:p w:rsidR="00904B7B" w:rsidRPr="00AE1D80" w:rsidRDefault="00904B7B" w:rsidP="00F23EAF">
      <w:pPr>
        <w:spacing w:before="50" w:line="340" w:lineRule="exact"/>
        <w:rPr>
          <w:rFonts w:eastAsia="標楷體"/>
          <w:color w:val="000000"/>
        </w:rPr>
      </w:pPr>
    </w:p>
    <w:p w:rsidR="00904B7B" w:rsidRPr="00AE1D80" w:rsidRDefault="00904B7B" w:rsidP="00F23EAF">
      <w:pPr>
        <w:spacing w:before="50" w:line="340" w:lineRule="exact"/>
        <w:rPr>
          <w:rFonts w:eastAsia="標楷體"/>
          <w:color w:val="000000"/>
        </w:rPr>
      </w:pPr>
    </w:p>
    <w:p w:rsidR="00F23EAF" w:rsidRPr="00AE1D80" w:rsidRDefault="00F23EAF" w:rsidP="00F23EAF">
      <w:pPr>
        <w:spacing w:before="50" w:line="340" w:lineRule="exact"/>
        <w:rPr>
          <w:rFonts w:ascii="標楷體" w:eastAsia="標楷體" w:hAnsi="標楷體"/>
          <w:color w:val="000000"/>
        </w:rPr>
      </w:pPr>
    </w:p>
    <w:p w:rsidR="000D38E6" w:rsidRPr="00AE1D80" w:rsidRDefault="000D38E6" w:rsidP="00F23EAF">
      <w:pPr>
        <w:spacing w:before="50" w:line="340" w:lineRule="exact"/>
        <w:rPr>
          <w:rFonts w:ascii="標楷體" w:eastAsia="標楷體" w:hAnsi="標楷體"/>
          <w:color w:val="000000"/>
        </w:rPr>
      </w:pPr>
    </w:p>
    <w:p w:rsidR="00D63125" w:rsidRPr="00AE1D80" w:rsidRDefault="00D63125">
      <w:pPr>
        <w:spacing w:before="50" w:line="220" w:lineRule="exact"/>
        <w:jc w:val="center"/>
        <w:rPr>
          <w:rFonts w:ascii="標楷體" w:eastAsia="標楷體" w:hAnsi="標楷體"/>
          <w:color w:val="000000"/>
          <w:sz w:val="22"/>
        </w:rPr>
      </w:pPr>
      <w:r w:rsidRPr="00AE1D80">
        <w:rPr>
          <w:rFonts w:ascii="標楷體" w:eastAsia="標楷體" w:hAnsi="標楷體" w:hint="eastAsia"/>
          <w:color w:val="000000"/>
          <w:sz w:val="22"/>
        </w:rPr>
        <w:t>（第</w:t>
      </w:r>
      <w:r w:rsidR="00F23EAF" w:rsidRPr="00AE1D80">
        <w:rPr>
          <w:rFonts w:ascii="標楷體" w:eastAsia="標楷體" w:hAnsi="標楷體" w:hint="eastAsia"/>
          <w:color w:val="000000"/>
          <w:sz w:val="22"/>
        </w:rPr>
        <w:t>2</w:t>
      </w:r>
      <w:r w:rsidRPr="00AE1D80">
        <w:rPr>
          <w:rFonts w:ascii="標楷體" w:eastAsia="標楷體" w:hAnsi="標楷體" w:hint="eastAsia"/>
          <w:color w:val="000000"/>
          <w:sz w:val="22"/>
        </w:rPr>
        <w:t>頁背面）</w:t>
      </w:r>
    </w:p>
    <w:sectPr w:rsidR="00D63125" w:rsidRPr="00AE1D80" w:rsidSect="00A94C6E">
      <w:pgSz w:w="16840" w:h="23814" w:code="8"/>
      <w:pgMar w:top="1701" w:right="1191" w:bottom="357" w:left="1701" w:header="851" w:footer="45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4DD" w:rsidRDefault="009B04DD" w:rsidP="00D63125">
      <w:r>
        <w:separator/>
      </w:r>
    </w:p>
  </w:endnote>
  <w:endnote w:type="continuationSeparator" w:id="0">
    <w:p w:rsidR="009B04DD" w:rsidRDefault="009B04DD" w:rsidP="00D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4DD" w:rsidRDefault="009B04DD" w:rsidP="00D63125">
      <w:r>
        <w:separator/>
      </w:r>
    </w:p>
  </w:footnote>
  <w:footnote w:type="continuationSeparator" w:id="0">
    <w:p w:rsidR="009B04DD" w:rsidRDefault="009B04DD" w:rsidP="00D63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49497B"/>
    <w:multiLevelType w:val="hybridMultilevel"/>
    <w:tmpl w:val="7AE2905E"/>
    <w:lvl w:ilvl="0" w:tplc="C70A6B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74257816"/>
    <w:multiLevelType w:val="hybridMultilevel"/>
    <w:tmpl w:val="1DEAF08E"/>
    <w:lvl w:ilvl="0" w:tplc="B6BCEF4A">
      <w:start w:val="1"/>
      <w:numFmt w:val="taiwaneseCountingThousand"/>
      <w:lvlText w:val="%1、"/>
      <w:lvlJc w:val="left"/>
      <w:pPr>
        <w:tabs>
          <w:tab w:val="num" w:pos="450"/>
        </w:tabs>
        <w:ind w:left="450" w:hanging="450"/>
      </w:pPr>
      <w:rPr>
        <w:rFonts w:hint="eastAsia"/>
      </w:rPr>
    </w:lvl>
    <w:lvl w:ilvl="1" w:tplc="249A8E50">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7D7959AF"/>
    <w:multiLevelType w:val="hybridMultilevel"/>
    <w:tmpl w:val="F976BA0A"/>
    <w:lvl w:ilvl="0" w:tplc="B2AC17DE">
      <w:start w:val="1"/>
      <w:numFmt w:val="decimal"/>
      <w:lvlText w:val="(%1)"/>
      <w:lvlJc w:val="left"/>
      <w:pPr>
        <w:tabs>
          <w:tab w:val="num" w:pos="1005"/>
        </w:tabs>
        <w:ind w:left="1005" w:hanging="360"/>
      </w:pPr>
      <w:rPr>
        <w:rFonts w:hint="eastAsia"/>
      </w:rPr>
    </w:lvl>
    <w:lvl w:ilvl="1" w:tplc="04090019" w:tentative="1">
      <w:start w:val="1"/>
      <w:numFmt w:val="ideographTraditional"/>
      <w:lvlText w:val="%2、"/>
      <w:lvlJc w:val="left"/>
      <w:pPr>
        <w:tabs>
          <w:tab w:val="num" w:pos="1605"/>
        </w:tabs>
        <w:ind w:left="1605" w:hanging="480"/>
      </w:pPr>
    </w:lvl>
    <w:lvl w:ilvl="2" w:tplc="0409001B" w:tentative="1">
      <w:start w:val="1"/>
      <w:numFmt w:val="lowerRoman"/>
      <w:lvlText w:val="%3."/>
      <w:lvlJc w:val="right"/>
      <w:pPr>
        <w:tabs>
          <w:tab w:val="num" w:pos="2085"/>
        </w:tabs>
        <w:ind w:left="2085" w:hanging="480"/>
      </w:pPr>
    </w:lvl>
    <w:lvl w:ilvl="3" w:tplc="0409000F" w:tentative="1">
      <w:start w:val="1"/>
      <w:numFmt w:val="decimal"/>
      <w:lvlText w:val="%4."/>
      <w:lvlJc w:val="left"/>
      <w:pPr>
        <w:tabs>
          <w:tab w:val="num" w:pos="2565"/>
        </w:tabs>
        <w:ind w:left="2565" w:hanging="480"/>
      </w:pPr>
    </w:lvl>
    <w:lvl w:ilvl="4" w:tplc="04090019" w:tentative="1">
      <w:start w:val="1"/>
      <w:numFmt w:val="ideographTraditional"/>
      <w:lvlText w:val="%5、"/>
      <w:lvlJc w:val="left"/>
      <w:pPr>
        <w:tabs>
          <w:tab w:val="num" w:pos="3045"/>
        </w:tabs>
        <w:ind w:left="3045" w:hanging="480"/>
      </w:pPr>
    </w:lvl>
    <w:lvl w:ilvl="5" w:tplc="0409001B" w:tentative="1">
      <w:start w:val="1"/>
      <w:numFmt w:val="lowerRoman"/>
      <w:lvlText w:val="%6."/>
      <w:lvlJc w:val="right"/>
      <w:pPr>
        <w:tabs>
          <w:tab w:val="num" w:pos="3525"/>
        </w:tabs>
        <w:ind w:left="3525" w:hanging="480"/>
      </w:pPr>
    </w:lvl>
    <w:lvl w:ilvl="6" w:tplc="0409000F" w:tentative="1">
      <w:start w:val="1"/>
      <w:numFmt w:val="decimal"/>
      <w:lvlText w:val="%7."/>
      <w:lvlJc w:val="left"/>
      <w:pPr>
        <w:tabs>
          <w:tab w:val="num" w:pos="4005"/>
        </w:tabs>
        <w:ind w:left="4005" w:hanging="480"/>
      </w:pPr>
    </w:lvl>
    <w:lvl w:ilvl="7" w:tplc="04090019" w:tentative="1">
      <w:start w:val="1"/>
      <w:numFmt w:val="ideographTraditional"/>
      <w:lvlText w:val="%8、"/>
      <w:lvlJc w:val="left"/>
      <w:pPr>
        <w:tabs>
          <w:tab w:val="num" w:pos="4485"/>
        </w:tabs>
        <w:ind w:left="4485" w:hanging="480"/>
      </w:pPr>
    </w:lvl>
    <w:lvl w:ilvl="8" w:tplc="0409001B" w:tentative="1">
      <w:start w:val="1"/>
      <w:numFmt w:val="lowerRoman"/>
      <w:lvlText w:val="%9."/>
      <w:lvlJc w:val="right"/>
      <w:pPr>
        <w:tabs>
          <w:tab w:val="num" w:pos="4965"/>
        </w:tabs>
        <w:ind w:left="4965"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01E2"/>
    <w:rsid w:val="00036BCC"/>
    <w:rsid w:val="00037D70"/>
    <w:rsid w:val="00042946"/>
    <w:rsid w:val="00067D75"/>
    <w:rsid w:val="000D373F"/>
    <w:rsid w:val="000D38E6"/>
    <w:rsid w:val="000E574F"/>
    <w:rsid w:val="00131039"/>
    <w:rsid w:val="00161CAE"/>
    <w:rsid w:val="001D1597"/>
    <w:rsid w:val="00206AB3"/>
    <w:rsid w:val="002476E1"/>
    <w:rsid w:val="002B1E8C"/>
    <w:rsid w:val="00316DFF"/>
    <w:rsid w:val="00320327"/>
    <w:rsid w:val="00370A07"/>
    <w:rsid w:val="003D0AFD"/>
    <w:rsid w:val="003D6D4F"/>
    <w:rsid w:val="00403A54"/>
    <w:rsid w:val="004250AD"/>
    <w:rsid w:val="00427954"/>
    <w:rsid w:val="004946B5"/>
    <w:rsid w:val="00495A2C"/>
    <w:rsid w:val="004D4462"/>
    <w:rsid w:val="00571508"/>
    <w:rsid w:val="00590FDA"/>
    <w:rsid w:val="00596223"/>
    <w:rsid w:val="0064550B"/>
    <w:rsid w:val="00655CA1"/>
    <w:rsid w:val="006B1FCF"/>
    <w:rsid w:val="006B669F"/>
    <w:rsid w:val="006C00FA"/>
    <w:rsid w:val="006C0622"/>
    <w:rsid w:val="00764A39"/>
    <w:rsid w:val="007D6E86"/>
    <w:rsid w:val="00803A2E"/>
    <w:rsid w:val="00837996"/>
    <w:rsid w:val="00902DB1"/>
    <w:rsid w:val="00904B7B"/>
    <w:rsid w:val="00956493"/>
    <w:rsid w:val="009B04DD"/>
    <w:rsid w:val="009B6761"/>
    <w:rsid w:val="009C020B"/>
    <w:rsid w:val="009D5B87"/>
    <w:rsid w:val="00A94C6E"/>
    <w:rsid w:val="00AB2C60"/>
    <w:rsid w:val="00AE1D80"/>
    <w:rsid w:val="00B001E2"/>
    <w:rsid w:val="00B17C5F"/>
    <w:rsid w:val="00B508DD"/>
    <w:rsid w:val="00B5206D"/>
    <w:rsid w:val="00B62274"/>
    <w:rsid w:val="00BE583B"/>
    <w:rsid w:val="00BF20E6"/>
    <w:rsid w:val="00C37894"/>
    <w:rsid w:val="00C4516B"/>
    <w:rsid w:val="00C7090F"/>
    <w:rsid w:val="00CA36EF"/>
    <w:rsid w:val="00CA69B3"/>
    <w:rsid w:val="00D01CE6"/>
    <w:rsid w:val="00D35CE6"/>
    <w:rsid w:val="00D63125"/>
    <w:rsid w:val="00D974ED"/>
    <w:rsid w:val="00DB582D"/>
    <w:rsid w:val="00DC3E0E"/>
    <w:rsid w:val="00E64530"/>
    <w:rsid w:val="00E8086C"/>
    <w:rsid w:val="00F23EAF"/>
    <w:rsid w:val="00F25BD6"/>
    <w:rsid w:val="00F302F8"/>
    <w:rsid w:val="00FC2A68"/>
    <w:rsid w:val="00FD240E"/>
    <w:rsid w:val="00FF046E"/>
    <w:rsid w:val="00FF67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5ED074-0916-4F2C-8EE1-7281D1CE3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pacing w:line="220" w:lineRule="exact"/>
      <w:ind w:left="440" w:hangingChars="200" w:hanging="440"/>
    </w:pPr>
    <w:rPr>
      <w:rFonts w:ascii="標楷體" w:eastAsia="標楷體"/>
      <w:sz w:val="22"/>
    </w:rPr>
  </w:style>
  <w:style w:type="paragraph" w:styleId="2">
    <w:name w:val="Body Text Indent 2"/>
    <w:basedOn w:val="a"/>
    <w:semiHidden/>
    <w:pPr>
      <w:spacing w:line="220" w:lineRule="exact"/>
      <w:ind w:left="1078" w:hangingChars="490" w:hanging="1078"/>
    </w:pPr>
    <w:rPr>
      <w:rFonts w:ascii="標楷體" w:eastAsia="標楷體"/>
      <w:sz w:val="22"/>
    </w:rPr>
  </w:style>
  <w:style w:type="paragraph" w:styleId="a4">
    <w:name w:val="header"/>
    <w:basedOn w:val="a"/>
    <w:semiHidden/>
    <w:pPr>
      <w:tabs>
        <w:tab w:val="center" w:pos="4153"/>
        <w:tab w:val="right" w:pos="8306"/>
      </w:tabs>
      <w:snapToGrid w:val="0"/>
    </w:pPr>
    <w:rPr>
      <w:sz w:val="20"/>
      <w:szCs w:val="20"/>
    </w:rPr>
  </w:style>
  <w:style w:type="paragraph" w:customStyle="1" w:styleId="1">
    <w:name w:val="須知1"/>
    <w:basedOn w:val="a"/>
    <w:pPr>
      <w:spacing w:line="300" w:lineRule="exact"/>
      <w:ind w:left="440" w:hangingChars="200" w:hanging="440"/>
    </w:pPr>
    <w:rPr>
      <w:rFonts w:ascii="標楷體" w:eastAsia="標楷體" w:hAnsi="標楷體"/>
      <w:sz w:val="22"/>
      <w:shd w:val="pct15" w:color="auto" w:fill="FFFFFF"/>
    </w:rPr>
  </w:style>
  <w:style w:type="paragraph" w:styleId="a5">
    <w:name w:val="footer"/>
    <w:basedOn w:val="a"/>
    <w:semiHidden/>
    <w:pPr>
      <w:tabs>
        <w:tab w:val="center" w:pos="4153"/>
        <w:tab w:val="right" w:pos="8306"/>
      </w:tabs>
      <w:snapToGrid w:val="0"/>
    </w:pPr>
    <w:rPr>
      <w:sz w:val="20"/>
      <w:szCs w:val="20"/>
    </w:rPr>
  </w:style>
  <w:style w:type="paragraph" w:styleId="a6">
    <w:name w:val="Balloon Text"/>
    <w:basedOn w:val="a"/>
    <w:link w:val="a7"/>
    <w:uiPriority w:val="99"/>
    <w:semiHidden/>
    <w:unhideWhenUsed/>
    <w:rsid w:val="00FF046E"/>
    <w:rPr>
      <w:rFonts w:ascii="Cambria" w:hAnsi="Cambria"/>
      <w:sz w:val="18"/>
      <w:szCs w:val="18"/>
    </w:rPr>
  </w:style>
  <w:style w:type="character" w:customStyle="1" w:styleId="a7">
    <w:name w:val="註解方塊文字 字元"/>
    <w:link w:val="a6"/>
    <w:uiPriority w:val="99"/>
    <w:semiHidden/>
    <w:rsid w:val="00FF046E"/>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93EC3-A855-48F9-9326-6C15ADB3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167</Words>
  <Characters>954</Characters>
  <Application>Microsoft Office Word</Application>
  <DocSecurity>0</DocSecurity>
  <Lines>7</Lines>
  <Paragraphs>2</Paragraphs>
  <ScaleCrop>false</ScaleCrop>
  <Company>mitac</Company>
  <LinksUpToDate>false</LinksUpToDate>
  <CharactersWithSpaces>1119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申　報　須　知 -----</dc:title>
  <dc:creator>iis0502</dc:creator>
  <cp:lastModifiedBy>劉宗榮(NH17086)</cp:lastModifiedBy>
  <cp:revision>10</cp:revision>
  <cp:lastPrinted>2016-10-22T05:54:00Z</cp:lastPrinted>
  <dcterms:created xsi:type="dcterms:W3CDTF">2016-12-02T06:31:00Z</dcterms:created>
  <dcterms:modified xsi:type="dcterms:W3CDTF">2017-09-16T05:08:00Z</dcterms:modified>
</cp:coreProperties>
</file>